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63DC4" w14:textId="77777777" w:rsidR="008603A3" w:rsidRPr="00F743C7" w:rsidRDefault="008603A3" w:rsidP="008603A3">
      <w:pPr>
        <w:tabs>
          <w:tab w:val="left" w:pos="567"/>
        </w:tabs>
        <w:spacing w:after="0" w:line="240" w:lineRule="auto"/>
        <w:rPr>
          <w:rFonts w:ascii="Bookman Old Style" w:hAnsi="Bookman Old Style" w:cs="Times New Roman"/>
          <w:sz w:val="28"/>
          <w:szCs w:val="28"/>
          <w:lang w:val="el-GR"/>
        </w:rPr>
      </w:pPr>
      <w:bookmarkStart w:id="0" w:name="_GoBack"/>
      <w:bookmarkEnd w:id="0"/>
      <w:r w:rsidRPr="00F743C7">
        <w:rPr>
          <w:rFonts w:ascii="Bookman Old Style" w:hAnsi="Bookman Old Style" w:cs="Times New Roman"/>
          <w:sz w:val="28"/>
          <w:szCs w:val="28"/>
          <w:lang w:val="el-GR"/>
        </w:rPr>
        <w:t>ΑΝΩΤΑΤΟ ΔΙΚΑΣΤΗΡΙΟ ΚΥΠΡΟΥ</w:t>
      </w:r>
    </w:p>
    <w:p w14:paraId="073C4712" w14:textId="77777777" w:rsidR="008603A3" w:rsidRPr="00F743C7" w:rsidRDefault="008603A3" w:rsidP="008603A3">
      <w:pPr>
        <w:spacing w:after="0" w:line="240" w:lineRule="auto"/>
        <w:rPr>
          <w:rFonts w:ascii="Bookman Old Style" w:hAnsi="Bookman Old Style" w:cs="Times New Roman"/>
          <w:sz w:val="28"/>
          <w:szCs w:val="28"/>
          <w:lang w:val="el-GR"/>
        </w:rPr>
      </w:pPr>
      <w:r w:rsidRPr="00F743C7">
        <w:rPr>
          <w:rFonts w:ascii="Bookman Old Style" w:hAnsi="Bookman Old Style" w:cs="Times New Roman"/>
          <w:sz w:val="28"/>
          <w:szCs w:val="28"/>
          <w:lang w:val="el-GR"/>
        </w:rPr>
        <w:t>ΔΕΥΤΕΡΟΒΑΘΜΙΑ ΔΙΚΑΙΟΔΟΣΙΑ</w:t>
      </w:r>
    </w:p>
    <w:p w14:paraId="2E7F403A" w14:textId="3E726170" w:rsidR="008603A3" w:rsidRPr="00F743C7" w:rsidRDefault="008603A3" w:rsidP="008603A3">
      <w:pPr>
        <w:spacing w:line="276" w:lineRule="auto"/>
        <w:jc w:val="right"/>
        <w:rPr>
          <w:rFonts w:ascii="Bookman Old Style" w:hAnsi="Bookman Old Style" w:cs="Times New Roman"/>
          <w:i/>
          <w:sz w:val="28"/>
          <w:szCs w:val="28"/>
          <w:lang w:val="el-GR"/>
        </w:rPr>
      </w:pPr>
      <w:r w:rsidRPr="00F743C7">
        <w:rPr>
          <w:rFonts w:ascii="Bookman Old Style" w:hAnsi="Bookman Old Style" w:cs="Times New Roman"/>
          <w:sz w:val="28"/>
          <w:szCs w:val="28"/>
          <w:lang w:val="el-GR"/>
        </w:rPr>
        <w:tab/>
        <w:t>(</w:t>
      </w:r>
      <w:r w:rsidRPr="00F743C7">
        <w:rPr>
          <w:rFonts w:ascii="Bookman Old Style" w:hAnsi="Bookman Old Style" w:cs="Times New Roman"/>
          <w:i/>
          <w:sz w:val="28"/>
          <w:szCs w:val="28"/>
          <w:lang w:val="el-GR"/>
        </w:rPr>
        <w:t xml:space="preserve">Πολιτική Έφεση Αρ. </w:t>
      </w:r>
      <w:r w:rsidRPr="0019785D">
        <w:rPr>
          <w:rFonts w:ascii="Bookman Old Style" w:hAnsi="Bookman Old Style" w:cs="Times New Roman"/>
          <w:i/>
          <w:sz w:val="28"/>
          <w:szCs w:val="28"/>
        </w:rPr>
        <w:t>E</w:t>
      </w:r>
      <w:r w:rsidRPr="00311F9B">
        <w:rPr>
          <w:rFonts w:ascii="Bookman Old Style" w:hAnsi="Bookman Old Style" w:cs="Times New Roman"/>
          <w:i/>
          <w:sz w:val="28"/>
          <w:szCs w:val="28"/>
          <w:lang w:val="el-GR"/>
        </w:rPr>
        <w:t>229</w:t>
      </w:r>
      <w:r>
        <w:rPr>
          <w:rFonts w:ascii="Bookman Old Style" w:hAnsi="Bookman Old Style" w:cs="Times New Roman"/>
          <w:i/>
          <w:sz w:val="28"/>
          <w:szCs w:val="28"/>
          <w:lang w:val="el-GR"/>
        </w:rPr>
        <w:t>/</w:t>
      </w:r>
      <w:r w:rsidRPr="00F743C7">
        <w:rPr>
          <w:rFonts w:ascii="Bookman Old Style" w:hAnsi="Bookman Old Style" w:cs="Times New Roman"/>
          <w:i/>
          <w:sz w:val="28"/>
          <w:szCs w:val="28"/>
          <w:lang w:val="el-GR"/>
        </w:rPr>
        <w:t>201</w:t>
      </w:r>
      <w:r w:rsidR="00A50F70">
        <w:rPr>
          <w:rFonts w:ascii="Bookman Old Style" w:hAnsi="Bookman Old Style" w:cs="Times New Roman"/>
          <w:i/>
          <w:sz w:val="28"/>
          <w:szCs w:val="28"/>
          <w:lang w:val="el-GR"/>
        </w:rPr>
        <w:t>6)</w:t>
      </w:r>
    </w:p>
    <w:p w14:paraId="62CFBDDF" w14:textId="77777777" w:rsidR="008603A3" w:rsidRDefault="008603A3" w:rsidP="008603A3">
      <w:pPr>
        <w:spacing w:line="240" w:lineRule="auto"/>
        <w:jc w:val="center"/>
        <w:rPr>
          <w:rFonts w:ascii="Bookman Old Style" w:hAnsi="Bookman Old Style" w:cs="Times New Roman"/>
          <w:sz w:val="28"/>
          <w:szCs w:val="28"/>
          <w:lang w:val="el-GR"/>
        </w:rPr>
      </w:pPr>
    </w:p>
    <w:p w14:paraId="56B3F4D1" w14:textId="5CF975D6" w:rsidR="008603A3" w:rsidRPr="00F743C7" w:rsidRDefault="00002467" w:rsidP="008603A3">
      <w:pPr>
        <w:spacing w:line="240" w:lineRule="auto"/>
        <w:jc w:val="center"/>
        <w:rPr>
          <w:rFonts w:ascii="Bookman Old Style" w:hAnsi="Bookman Old Style" w:cs="Times New Roman"/>
          <w:sz w:val="28"/>
          <w:szCs w:val="28"/>
          <w:lang w:val="el-GR"/>
        </w:rPr>
      </w:pPr>
      <w:r>
        <w:rPr>
          <w:rFonts w:ascii="Bookman Old Style" w:hAnsi="Bookman Old Style" w:cs="Times New Roman"/>
          <w:sz w:val="28"/>
          <w:szCs w:val="28"/>
          <w:lang w:val="el-GR"/>
        </w:rPr>
        <w:t xml:space="preserve">17 </w:t>
      </w:r>
      <w:r w:rsidR="00AA0106">
        <w:rPr>
          <w:rFonts w:ascii="Bookman Old Style" w:hAnsi="Bookman Old Style" w:cs="Times New Roman"/>
          <w:sz w:val="28"/>
          <w:szCs w:val="28"/>
          <w:lang w:val="el-GR"/>
        </w:rPr>
        <w:t>Ιανουα</w:t>
      </w:r>
      <w:r w:rsidR="008603A3">
        <w:rPr>
          <w:rFonts w:ascii="Bookman Old Style" w:hAnsi="Bookman Old Style" w:cs="Times New Roman"/>
          <w:sz w:val="28"/>
          <w:szCs w:val="28"/>
          <w:lang w:val="el-GR"/>
        </w:rPr>
        <w:t>ρίου</w:t>
      </w:r>
      <w:r w:rsidR="008603A3" w:rsidRPr="00F743C7">
        <w:rPr>
          <w:rFonts w:ascii="Bookman Old Style" w:hAnsi="Bookman Old Style" w:cs="Times New Roman"/>
          <w:sz w:val="28"/>
          <w:szCs w:val="28"/>
          <w:lang w:val="el-GR"/>
        </w:rPr>
        <w:t>, 202</w:t>
      </w:r>
      <w:r w:rsidR="00AA0106">
        <w:rPr>
          <w:rFonts w:ascii="Bookman Old Style" w:hAnsi="Bookman Old Style" w:cs="Times New Roman"/>
          <w:sz w:val="28"/>
          <w:szCs w:val="28"/>
          <w:lang w:val="el-GR"/>
        </w:rPr>
        <w:t>4</w:t>
      </w:r>
    </w:p>
    <w:p w14:paraId="50C3E9D7" w14:textId="77777777" w:rsidR="008603A3" w:rsidRPr="00F743C7" w:rsidRDefault="008603A3" w:rsidP="008603A3">
      <w:pPr>
        <w:spacing w:line="240" w:lineRule="auto"/>
        <w:jc w:val="center"/>
        <w:rPr>
          <w:rFonts w:ascii="Bookman Old Style" w:hAnsi="Bookman Old Style" w:cs="Times New Roman"/>
          <w:sz w:val="28"/>
          <w:szCs w:val="28"/>
          <w:lang w:val="el-GR"/>
        </w:rPr>
      </w:pPr>
    </w:p>
    <w:p w14:paraId="06EEB6E0" w14:textId="77777777" w:rsidR="008603A3" w:rsidRPr="00F743C7" w:rsidRDefault="008603A3" w:rsidP="008603A3">
      <w:pPr>
        <w:spacing w:line="240" w:lineRule="auto"/>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[ΜΑΛΑΧΤΟΣ, ΙΩΑΝΝΙΔΗΣ, ΕΦΡΑΙΜ, Δ/στές]</w:t>
      </w:r>
    </w:p>
    <w:p w14:paraId="0EEA53B8" w14:textId="77777777" w:rsidR="008603A3" w:rsidRPr="00F743C7" w:rsidRDefault="008603A3" w:rsidP="008603A3">
      <w:pPr>
        <w:spacing w:line="240" w:lineRule="auto"/>
        <w:rPr>
          <w:rFonts w:ascii="Bookman Old Style" w:hAnsi="Bookman Old Style" w:cs="Times New Roman"/>
          <w:sz w:val="28"/>
          <w:szCs w:val="28"/>
          <w:lang w:val="el-GR"/>
        </w:rPr>
      </w:pPr>
    </w:p>
    <w:p w14:paraId="1BCE4521" w14:textId="58CC9B1F" w:rsidR="008603A3" w:rsidRDefault="008603A3" w:rsidP="008603A3">
      <w:pPr>
        <w:tabs>
          <w:tab w:val="left" w:pos="3544"/>
        </w:tabs>
        <w:spacing w:after="0" w:line="240" w:lineRule="auto"/>
        <w:jc w:val="center"/>
        <w:rPr>
          <w:rFonts w:ascii="Bookman Old Style" w:hAnsi="Bookman Old Style" w:cs="Times New Roman"/>
          <w:sz w:val="28"/>
          <w:szCs w:val="28"/>
          <w:lang w:val="el-GR"/>
        </w:rPr>
      </w:pPr>
      <w:r>
        <w:rPr>
          <w:rFonts w:ascii="Bookman Old Style" w:hAnsi="Bookman Old Style" w:cs="Times New Roman"/>
          <w:sz w:val="28"/>
          <w:szCs w:val="28"/>
          <w:lang w:val="el-GR"/>
        </w:rPr>
        <w:t>Β</w:t>
      </w:r>
      <w:r w:rsidR="00F769C3">
        <w:rPr>
          <w:rFonts w:ascii="Bookman Old Style" w:hAnsi="Bookman Old Style" w:cs="Times New Roman"/>
          <w:sz w:val="28"/>
          <w:szCs w:val="28"/>
          <w:lang w:val="el-GR"/>
        </w:rPr>
        <w:t>.</w:t>
      </w:r>
      <w:r>
        <w:rPr>
          <w:rFonts w:ascii="Bookman Old Style" w:hAnsi="Bookman Old Style" w:cs="Times New Roman"/>
          <w:sz w:val="28"/>
          <w:szCs w:val="28"/>
          <w:lang w:val="el-GR"/>
        </w:rPr>
        <w:t xml:space="preserve"> Π</w:t>
      </w:r>
      <w:r w:rsidR="00F769C3">
        <w:rPr>
          <w:rFonts w:ascii="Bookman Old Style" w:hAnsi="Bookman Old Style" w:cs="Times New Roman"/>
          <w:sz w:val="28"/>
          <w:szCs w:val="28"/>
          <w:lang w:val="el-GR"/>
        </w:rPr>
        <w:t>.</w:t>
      </w:r>
      <w:r>
        <w:rPr>
          <w:rFonts w:ascii="Bookman Old Style" w:hAnsi="Bookman Old Style" w:cs="Times New Roman"/>
          <w:sz w:val="28"/>
          <w:szCs w:val="28"/>
          <w:lang w:val="el-GR"/>
        </w:rPr>
        <w:t xml:space="preserve"> Α</w:t>
      </w:r>
      <w:r w:rsidR="00F769C3">
        <w:rPr>
          <w:rFonts w:ascii="Bookman Old Style" w:hAnsi="Bookman Old Style" w:cs="Times New Roman"/>
          <w:sz w:val="28"/>
          <w:szCs w:val="28"/>
          <w:lang w:val="el-GR"/>
        </w:rPr>
        <w:t>.</w:t>
      </w:r>
      <w:r>
        <w:rPr>
          <w:rFonts w:ascii="Bookman Old Style" w:hAnsi="Bookman Old Style" w:cs="Times New Roman"/>
          <w:sz w:val="28"/>
          <w:szCs w:val="28"/>
          <w:lang w:val="el-GR"/>
        </w:rPr>
        <w:t xml:space="preserve"> Ο</w:t>
      </w:r>
      <w:r w:rsidR="00F769C3">
        <w:rPr>
          <w:rFonts w:ascii="Bookman Old Style" w:hAnsi="Bookman Old Style" w:cs="Times New Roman"/>
          <w:sz w:val="28"/>
          <w:szCs w:val="28"/>
          <w:lang w:val="el-GR"/>
        </w:rPr>
        <w:t>.</w:t>
      </w:r>
    </w:p>
    <w:p w14:paraId="15ED8E20" w14:textId="00D5AC48" w:rsidR="008603A3" w:rsidRPr="006E1926" w:rsidRDefault="008603A3" w:rsidP="008603A3">
      <w:pPr>
        <w:tabs>
          <w:tab w:val="left" w:pos="1985"/>
          <w:tab w:val="left" w:pos="5670"/>
        </w:tabs>
        <w:spacing w:before="240" w:after="0" w:line="240" w:lineRule="auto"/>
        <w:ind w:left="2694" w:hanging="426"/>
        <w:rPr>
          <w:rFonts w:ascii="Bookman Old Style" w:hAnsi="Bookman Old Style" w:cs="Times New Roman"/>
          <w:i/>
          <w:sz w:val="28"/>
          <w:szCs w:val="28"/>
          <w:lang w:val="el-GR"/>
        </w:rPr>
      </w:pPr>
      <w:r w:rsidRPr="003D7CA6">
        <w:rPr>
          <w:rFonts w:ascii="Bookman Old Style" w:hAnsi="Bookman Old Style" w:cs="Times New Roman"/>
          <w:i/>
          <w:sz w:val="28"/>
          <w:szCs w:val="28"/>
          <w:lang w:val="el-GR"/>
        </w:rPr>
        <w:tab/>
      </w:r>
      <w:r w:rsidRPr="003D7CA6">
        <w:rPr>
          <w:rFonts w:ascii="Bookman Old Style" w:hAnsi="Bookman Old Style" w:cs="Times New Roman"/>
          <w:i/>
          <w:sz w:val="28"/>
          <w:szCs w:val="28"/>
          <w:lang w:val="el-GR"/>
        </w:rPr>
        <w:tab/>
      </w:r>
      <w:r w:rsidRPr="003D7CA6">
        <w:rPr>
          <w:rFonts w:ascii="Bookman Old Style" w:hAnsi="Bookman Old Style" w:cs="Times New Roman"/>
          <w:i/>
          <w:sz w:val="28"/>
          <w:szCs w:val="28"/>
          <w:lang w:val="el-GR"/>
        </w:rPr>
        <w:tab/>
      </w:r>
      <w:r w:rsidRPr="00F743C7">
        <w:rPr>
          <w:rFonts w:ascii="Bookman Old Style" w:hAnsi="Bookman Old Style" w:cs="Times New Roman"/>
          <w:i/>
          <w:sz w:val="28"/>
          <w:szCs w:val="28"/>
          <w:lang w:val="el-GR"/>
        </w:rPr>
        <w:t>Εφεσείο</w:t>
      </w:r>
      <w:r>
        <w:rPr>
          <w:rFonts w:ascii="Bookman Old Style" w:hAnsi="Bookman Old Style" w:cs="Times New Roman"/>
          <w:i/>
          <w:sz w:val="28"/>
          <w:szCs w:val="28"/>
          <w:lang w:val="el-GR"/>
        </w:rPr>
        <w:t>υσα</w:t>
      </w:r>
      <w:r w:rsidRPr="006E1926">
        <w:rPr>
          <w:rFonts w:ascii="Bookman Old Style" w:hAnsi="Bookman Old Style" w:cs="Times New Roman"/>
          <w:i/>
          <w:sz w:val="28"/>
          <w:szCs w:val="28"/>
          <w:lang w:val="el-GR"/>
        </w:rPr>
        <w:t>,</w:t>
      </w:r>
    </w:p>
    <w:p w14:paraId="557230E6" w14:textId="77777777" w:rsidR="008603A3" w:rsidRPr="006E1926" w:rsidRDefault="008603A3" w:rsidP="008603A3">
      <w:pPr>
        <w:spacing w:after="0" w:line="240" w:lineRule="auto"/>
        <w:jc w:val="center"/>
        <w:rPr>
          <w:rFonts w:ascii="Bookman Old Style" w:hAnsi="Bookman Old Style" w:cs="Times New Roman"/>
          <w:iCs/>
          <w:sz w:val="28"/>
          <w:szCs w:val="28"/>
          <w:lang w:val="el-GR"/>
        </w:rPr>
      </w:pPr>
      <w:r w:rsidRPr="00F743C7">
        <w:rPr>
          <w:rFonts w:ascii="Bookman Old Style" w:hAnsi="Bookman Old Style" w:cs="Times New Roman"/>
          <w:iCs/>
          <w:sz w:val="28"/>
          <w:szCs w:val="28"/>
          <w:lang w:val="el-GR"/>
        </w:rPr>
        <w:t>ν</w:t>
      </w:r>
      <w:r w:rsidRPr="006E1926">
        <w:rPr>
          <w:rFonts w:ascii="Bookman Old Style" w:hAnsi="Bookman Old Style" w:cs="Times New Roman"/>
          <w:iCs/>
          <w:sz w:val="28"/>
          <w:szCs w:val="28"/>
          <w:lang w:val="el-GR"/>
        </w:rPr>
        <w:t>.</w:t>
      </w:r>
    </w:p>
    <w:p w14:paraId="18CAC824" w14:textId="77777777" w:rsidR="008603A3" w:rsidRPr="006E1926" w:rsidRDefault="008603A3" w:rsidP="008603A3">
      <w:pPr>
        <w:spacing w:after="0" w:line="240" w:lineRule="auto"/>
        <w:jc w:val="center"/>
        <w:rPr>
          <w:rFonts w:ascii="Bookman Old Style" w:hAnsi="Bookman Old Style" w:cs="Times New Roman"/>
          <w:iCs/>
          <w:sz w:val="28"/>
          <w:szCs w:val="28"/>
          <w:lang w:val="el-GR"/>
        </w:rPr>
      </w:pPr>
    </w:p>
    <w:p w14:paraId="5B54AC47" w14:textId="1616142F" w:rsidR="008603A3" w:rsidRDefault="008603A3" w:rsidP="008603A3">
      <w:pPr>
        <w:spacing w:after="0" w:line="240" w:lineRule="auto"/>
        <w:jc w:val="center"/>
        <w:rPr>
          <w:rFonts w:ascii="Bookman Old Style" w:hAnsi="Bookman Old Style" w:cs="Times New Roman"/>
          <w:iCs/>
          <w:sz w:val="28"/>
          <w:szCs w:val="28"/>
          <w:lang w:val="el-GR"/>
        </w:rPr>
      </w:pPr>
      <w:r>
        <w:rPr>
          <w:rFonts w:ascii="Bookman Old Style" w:hAnsi="Bookman Old Style" w:cs="Times New Roman"/>
          <w:iCs/>
          <w:sz w:val="28"/>
          <w:szCs w:val="28"/>
          <w:lang w:val="el-GR"/>
        </w:rPr>
        <w:t>Α</w:t>
      </w:r>
      <w:r w:rsidR="00F769C3">
        <w:rPr>
          <w:rFonts w:ascii="Bookman Old Style" w:hAnsi="Bookman Old Style" w:cs="Times New Roman"/>
          <w:iCs/>
          <w:sz w:val="28"/>
          <w:szCs w:val="28"/>
          <w:lang w:val="el-GR"/>
        </w:rPr>
        <w:t>.</w:t>
      </w:r>
      <w:r>
        <w:rPr>
          <w:rFonts w:ascii="Bookman Old Style" w:hAnsi="Bookman Old Style" w:cs="Times New Roman"/>
          <w:iCs/>
          <w:sz w:val="28"/>
          <w:szCs w:val="28"/>
          <w:lang w:val="el-GR"/>
        </w:rPr>
        <w:t xml:space="preserve"> Ο</w:t>
      </w:r>
      <w:r w:rsidR="00F769C3">
        <w:rPr>
          <w:rFonts w:ascii="Bookman Old Style" w:hAnsi="Bookman Old Style" w:cs="Times New Roman"/>
          <w:iCs/>
          <w:sz w:val="28"/>
          <w:szCs w:val="28"/>
          <w:lang w:val="el-GR"/>
        </w:rPr>
        <w:t>.</w:t>
      </w:r>
    </w:p>
    <w:p w14:paraId="05EA3057" w14:textId="7C1CE8BC" w:rsidR="008603A3" w:rsidRDefault="008603A3" w:rsidP="008603A3">
      <w:pPr>
        <w:tabs>
          <w:tab w:val="left" w:pos="5670"/>
        </w:tabs>
        <w:spacing w:before="240" w:after="0" w:line="240" w:lineRule="auto"/>
        <w:rPr>
          <w:rFonts w:ascii="Bookman Old Style" w:hAnsi="Bookman Old Style" w:cs="Times New Roman"/>
          <w:i/>
          <w:sz w:val="28"/>
          <w:szCs w:val="28"/>
          <w:lang w:val="el-GR"/>
        </w:rPr>
      </w:pPr>
      <w:r w:rsidRPr="006E1926">
        <w:rPr>
          <w:rFonts w:ascii="Bookman Old Style" w:hAnsi="Bookman Old Style" w:cs="Times New Roman"/>
          <w:i/>
          <w:sz w:val="28"/>
          <w:szCs w:val="28"/>
          <w:lang w:val="el-GR"/>
        </w:rPr>
        <w:tab/>
      </w:r>
      <w:r w:rsidRPr="006E1926">
        <w:rPr>
          <w:rFonts w:ascii="Bookman Old Style" w:hAnsi="Bookman Old Style" w:cs="Times New Roman"/>
          <w:i/>
          <w:sz w:val="28"/>
          <w:szCs w:val="28"/>
          <w:lang w:val="el-GR"/>
        </w:rPr>
        <w:tab/>
      </w:r>
      <w:r w:rsidRPr="00F743C7">
        <w:rPr>
          <w:rFonts w:ascii="Bookman Old Style" w:hAnsi="Bookman Old Style" w:cs="Times New Roman"/>
          <w:i/>
          <w:sz w:val="28"/>
          <w:szCs w:val="28"/>
          <w:lang w:val="el-GR"/>
        </w:rPr>
        <w:t>Εφεσίβλητ</w:t>
      </w:r>
      <w:r>
        <w:rPr>
          <w:rFonts w:ascii="Bookman Old Style" w:hAnsi="Bookman Old Style" w:cs="Times New Roman"/>
          <w:i/>
          <w:sz w:val="28"/>
          <w:szCs w:val="28"/>
          <w:lang w:val="el-GR"/>
        </w:rPr>
        <w:t>ου</w:t>
      </w:r>
      <w:r w:rsidRPr="00F743C7">
        <w:rPr>
          <w:rFonts w:ascii="Bookman Old Style" w:hAnsi="Bookman Old Style" w:cs="Times New Roman"/>
          <w:i/>
          <w:sz w:val="28"/>
          <w:szCs w:val="28"/>
          <w:lang w:val="el-GR"/>
        </w:rPr>
        <w:t>.</w:t>
      </w:r>
    </w:p>
    <w:p w14:paraId="044D1CD3" w14:textId="77777777" w:rsidR="008603A3" w:rsidRPr="00F743C7" w:rsidRDefault="008603A3" w:rsidP="008603A3">
      <w:pPr>
        <w:tabs>
          <w:tab w:val="left" w:pos="5670"/>
        </w:tabs>
        <w:spacing w:after="0" w:line="240" w:lineRule="auto"/>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w:t>
      </w:r>
    </w:p>
    <w:p w14:paraId="1D578C5E" w14:textId="77777777" w:rsidR="008603A3" w:rsidRDefault="008603A3" w:rsidP="008603A3">
      <w:pPr>
        <w:tabs>
          <w:tab w:val="left" w:pos="567"/>
        </w:tabs>
        <w:spacing w:after="0" w:line="240" w:lineRule="auto"/>
        <w:ind w:left="567"/>
        <w:rPr>
          <w:rFonts w:ascii="Bookman Old Style" w:hAnsi="Bookman Old Style" w:cs="Times New Roman"/>
          <w:sz w:val="28"/>
          <w:szCs w:val="28"/>
          <w:lang w:val="el-GR"/>
        </w:rPr>
      </w:pPr>
      <w:r>
        <w:rPr>
          <w:rFonts w:ascii="Bookman Old Style" w:hAnsi="Bookman Old Style" w:cs="Times New Roman"/>
          <w:sz w:val="28"/>
          <w:szCs w:val="28"/>
          <w:lang w:val="el-GR"/>
        </w:rPr>
        <w:tab/>
      </w:r>
    </w:p>
    <w:p w14:paraId="42B0B117" w14:textId="77777777" w:rsidR="008603A3" w:rsidRDefault="008603A3" w:rsidP="008603A3">
      <w:pPr>
        <w:tabs>
          <w:tab w:val="left" w:pos="567"/>
        </w:tabs>
        <w:spacing w:after="0" w:line="240" w:lineRule="auto"/>
        <w:ind w:left="567"/>
        <w:rPr>
          <w:rFonts w:ascii="Bookman Old Style" w:hAnsi="Bookman Old Style" w:cs="Times New Roman"/>
          <w:sz w:val="28"/>
          <w:szCs w:val="28"/>
          <w:lang w:val="el-GR"/>
        </w:rPr>
      </w:pPr>
    </w:p>
    <w:p w14:paraId="5AF06D1C" w14:textId="77777777" w:rsidR="008603A3" w:rsidRDefault="008603A3" w:rsidP="008603A3">
      <w:pPr>
        <w:tabs>
          <w:tab w:val="left" w:pos="567"/>
        </w:tabs>
        <w:spacing w:after="0" w:line="240" w:lineRule="auto"/>
        <w:ind w:left="567"/>
        <w:rPr>
          <w:rFonts w:ascii="Bookman Old Style" w:hAnsi="Bookman Old Style" w:cs="Times New Roman"/>
          <w:i/>
          <w:iCs/>
          <w:sz w:val="28"/>
          <w:szCs w:val="28"/>
          <w:lang w:val="el-GR"/>
        </w:rPr>
      </w:pPr>
      <w:r>
        <w:rPr>
          <w:rFonts w:ascii="Bookman Old Style" w:hAnsi="Bookman Old Style" w:cs="Times New Roman"/>
          <w:i/>
          <w:iCs/>
          <w:sz w:val="28"/>
          <w:szCs w:val="28"/>
          <w:lang w:val="el-GR"/>
        </w:rPr>
        <w:t>Η Εφεσείουσα εμφανίζεται προσωπικά.</w:t>
      </w:r>
    </w:p>
    <w:p w14:paraId="3EC8F5C7" w14:textId="77777777" w:rsidR="008603A3" w:rsidRDefault="008603A3" w:rsidP="008603A3">
      <w:pPr>
        <w:tabs>
          <w:tab w:val="left" w:pos="567"/>
        </w:tabs>
        <w:spacing w:after="0" w:line="240" w:lineRule="auto"/>
        <w:ind w:left="567"/>
        <w:rPr>
          <w:rFonts w:ascii="Bookman Old Style" w:hAnsi="Bookman Old Style" w:cs="Times New Roman"/>
          <w:i/>
          <w:iCs/>
          <w:sz w:val="28"/>
          <w:szCs w:val="28"/>
          <w:lang w:val="el-GR"/>
        </w:rPr>
      </w:pPr>
      <w:r>
        <w:rPr>
          <w:rFonts w:ascii="Bookman Old Style" w:hAnsi="Bookman Old Style" w:cs="Times New Roman"/>
          <w:i/>
          <w:iCs/>
          <w:sz w:val="28"/>
          <w:szCs w:val="28"/>
          <w:lang w:val="el-GR"/>
        </w:rPr>
        <w:t>Ο Εφεσίβλητος εμφανίζεται προσωπικά.</w:t>
      </w:r>
    </w:p>
    <w:p w14:paraId="1F4F9DC8" w14:textId="77777777" w:rsidR="008603A3" w:rsidRDefault="008603A3" w:rsidP="008603A3">
      <w:pPr>
        <w:tabs>
          <w:tab w:val="left" w:pos="567"/>
        </w:tabs>
        <w:spacing w:after="0" w:line="276" w:lineRule="auto"/>
        <w:rPr>
          <w:rFonts w:ascii="Bookman Old Style" w:hAnsi="Bookman Old Style" w:cs="Times New Roman"/>
          <w:b/>
          <w:sz w:val="28"/>
          <w:szCs w:val="28"/>
          <w:lang w:val="el-GR"/>
        </w:rPr>
      </w:pPr>
    </w:p>
    <w:p w14:paraId="7D25C86A" w14:textId="77777777" w:rsidR="008603A3" w:rsidRDefault="008603A3" w:rsidP="008603A3">
      <w:pPr>
        <w:tabs>
          <w:tab w:val="left" w:pos="567"/>
        </w:tabs>
        <w:spacing w:after="0" w:line="276" w:lineRule="auto"/>
        <w:rPr>
          <w:rFonts w:ascii="Bookman Old Style" w:hAnsi="Bookman Old Style" w:cs="Times New Roman"/>
          <w:b/>
          <w:sz w:val="28"/>
          <w:szCs w:val="28"/>
          <w:lang w:val="el-GR"/>
        </w:rPr>
      </w:pPr>
    </w:p>
    <w:p w14:paraId="4C64C6D1" w14:textId="77777777" w:rsidR="008603A3" w:rsidRPr="00F743C7" w:rsidRDefault="008603A3" w:rsidP="008603A3">
      <w:pPr>
        <w:tabs>
          <w:tab w:val="left" w:pos="567"/>
        </w:tabs>
        <w:spacing w:after="0" w:line="276" w:lineRule="auto"/>
        <w:jc w:val="center"/>
        <w:rPr>
          <w:rFonts w:ascii="Bookman Old Style" w:hAnsi="Bookman Old Style" w:cs="Times New Roman"/>
          <w:sz w:val="28"/>
          <w:szCs w:val="28"/>
          <w:lang w:val="el-GR"/>
        </w:rPr>
      </w:pPr>
      <w:r w:rsidRPr="00F743C7">
        <w:rPr>
          <w:rFonts w:ascii="Bookman Old Style" w:hAnsi="Bookman Old Style" w:cs="Times New Roman"/>
          <w:b/>
          <w:sz w:val="28"/>
          <w:szCs w:val="28"/>
          <w:lang w:val="el-GR"/>
        </w:rPr>
        <w:t>ΜΑΛΑΧΤΟΣ, Δ.:</w:t>
      </w:r>
      <w:r w:rsidRPr="00F743C7">
        <w:rPr>
          <w:rFonts w:ascii="Bookman Old Style" w:hAnsi="Bookman Old Style" w:cs="Times New Roman"/>
          <w:sz w:val="28"/>
          <w:szCs w:val="28"/>
          <w:lang w:val="el-GR"/>
        </w:rPr>
        <w:t xml:space="preserve"> Η απόφαση του Δικαστηρίου είναι ομόφωνη και</w:t>
      </w:r>
    </w:p>
    <w:p w14:paraId="512C0C80" w14:textId="77777777" w:rsidR="008603A3" w:rsidRPr="00F743C7" w:rsidRDefault="008603A3" w:rsidP="008603A3">
      <w:pPr>
        <w:tabs>
          <w:tab w:val="left" w:pos="567"/>
        </w:tabs>
        <w:spacing w:line="276" w:lineRule="auto"/>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 xml:space="preserve"> θα δοθεί από την Εφραίμ, Δ.</w:t>
      </w:r>
    </w:p>
    <w:p w14:paraId="21E87CC5" w14:textId="77777777" w:rsidR="008603A3" w:rsidRPr="00F743C7" w:rsidRDefault="008603A3" w:rsidP="008603A3">
      <w:pPr>
        <w:tabs>
          <w:tab w:val="left" w:pos="567"/>
        </w:tabs>
        <w:jc w:val="center"/>
        <w:rPr>
          <w:rFonts w:ascii="Bookman Old Style" w:hAnsi="Bookman Old Style" w:cs="Times New Roman"/>
          <w:b/>
          <w:sz w:val="28"/>
          <w:szCs w:val="28"/>
          <w:u w:val="single"/>
          <w:lang w:val="el-GR"/>
        </w:rPr>
      </w:pPr>
    </w:p>
    <w:p w14:paraId="6F07451D" w14:textId="77777777" w:rsidR="008603A3" w:rsidRDefault="008603A3" w:rsidP="008603A3">
      <w:pPr>
        <w:tabs>
          <w:tab w:val="left" w:pos="567"/>
        </w:tabs>
        <w:jc w:val="center"/>
        <w:rPr>
          <w:rFonts w:ascii="Bookman Old Style" w:hAnsi="Bookman Old Style" w:cs="Times New Roman"/>
          <w:b/>
          <w:sz w:val="28"/>
          <w:szCs w:val="28"/>
          <w:u w:val="single"/>
          <w:lang w:val="el-GR"/>
        </w:rPr>
      </w:pPr>
      <w:r w:rsidRPr="00F743C7">
        <w:rPr>
          <w:rFonts w:ascii="Bookman Old Style" w:hAnsi="Bookman Old Style" w:cs="Times New Roman"/>
          <w:b/>
          <w:sz w:val="28"/>
          <w:szCs w:val="28"/>
          <w:u w:val="single"/>
          <w:lang w:val="el-GR"/>
        </w:rPr>
        <w:t>Α Π Ο Φ Α Σ Η</w:t>
      </w:r>
    </w:p>
    <w:p w14:paraId="04F3688B" w14:textId="77777777" w:rsidR="008603A3" w:rsidRPr="00F743C7" w:rsidRDefault="008603A3" w:rsidP="008603A3">
      <w:pPr>
        <w:tabs>
          <w:tab w:val="left" w:pos="567"/>
        </w:tabs>
        <w:jc w:val="center"/>
        <w:rPr>
          <w:rFonts w:ascii="Bookman Old Style" w:hAnsi="Bookman Old Style" w:cs="Times New Roman"/>
          <w:b/>
          <w:sz w:val="28"/>
          <w:szCs w:val="28"/>
          <w:u w:val="single"/>
          <w:lang w:val="el-GR"/>
        </w:rPr>
      </w:pPr>
    </w:p>
    <w:p w14:paraId="7F7631A7" w14:textId="6D669F1C" w:rsidR="00587079" w:rsidRDefault="008603A3" w:rsidP="008603A3">
      <w:pPr>
        <w:spacing w:line="480" w:lineRule="auto"/>
        <w:ind w:firstLine="567"/>
        <w:jc w:val="both"/>
        <w:rPr>
          <w:rFonts w:ascii="Bookman Old Style" w:hAnsi="Bookman Old Style"/>
          <w:sz w:val="28"/>
          <w:szCs w:val="28"/>
          <w:lang w:val="el-GR"/>
        </w:rPr>
      </w:pPr>
      <w:r w:rsidRPr="00F743C7">
        <w:rPr>
          <w:rFonts w:ascii="Bookman Old Style" w:hAnsi="Bookman Old Style" w:cs="Times New Roman"/>
          <w:b/>
          <w:sz w:val="28"/>
          <w:szCs w:val="28"/>
          <w:lang w:val="el-GR"/>
        </w:rPr>
        <w:t>ΕΦΡΑΙΜ, Δ.:</w:t>
      </w:r>
      <w:r>
        <w:rPr>
          <w:rFonts w:ascii="Bookman Old Style" w:hAnsi="Bookman Old Style" w:cs="Times New Roman"/>
          <w:b/>
          <w:sz w:val="28"/>
          <w:szCs w:val="28"/>
          <w:lang w:val="el-GR"/>
        </w:rPr>
        <w:t xml:space="preserve"> </w:t>
      </w:r>
      <w:r w:rsidR="00587079">
        <w:rPr>
          <w:rFonts w:ascii="Bookman Old Style" w:hAnsi="Bookman Old Style"/>
          <w:sz w:val="28"/>
          <w:szCs w:val="28"/>
          <w:lang w:val="el-GR"/>
        </w:rPr>
        <w:t xml:space="preserve">Οι διάδικοι ήταν σύζυγοι και </w:t>
      </w:r>
      <w:r w:rsidR="00667170">
        <w:rPr>
          <w:rFonts w:ascii="Bookman Old Style" w:hAnsi="Bookman Old Style"/>
          <w:sz w:val="28"/>
          <w:szCs w:val="28"/>
          <w:lang w:val="el-GR"/>
        </w:rPr>
        <w:t xml:space="preserve">εκδόθηκε το </w:t>
      </w:r>
      <w:r w:rsidR="00587079">
        <w:rPr>
          <w:rFonts w:ascii="Bookman Old Style" w:hAnsi="Bookman Old Style"/>
          <w:sz w:val="28"/>
          <w:szCs w:val="28"/>
          <w:lang w:val="el-GR"/>
        </w:rPr>
        <w:t xml:space="preserve">διαζύγιο </w:t>
      </w:r>
      <w:r w:rsidR="00667170">
        <w:rPr>
          <w:rFonts w:ascii="Bookman Old Style" w:hAnsi="Bookman Old Style"/>
          <w:sz w:val="28"/>
          <w:szCs w:val="28"/>
          <w:lang w:val="el-GR"/>
        </w:rPr>
        <w:t xml:space="preserve">τους </w:t>
      </w:r>
      <w:r w:rsidR="00587079">
        <w:rPr>
          <w:rFonts w:ascii="Bookman Old Style" w:hAnsi="Bookman Old Style"/>
          <w:sz w:val="28"/>
          <w:szCs w:val="28"/>
          <w:lang w:val="el-GR"/>
        </w:rPr>
        <w:t xml:space="preserve">στις 10.12.2012. </w:t>
      </w:r>
      <w:r w:rsidR="003C792E">
        <w:rPr>
          <w:rFonts w:ascii="Bookman Old Style" w:hAnsi="Bookman Old Style"/>
          <w:sz w:val="28"/>
          <w:szCs w:val="28"/>
          <w:lang w:val="el-GR"/>
        </w:rPr>
        <w:t xml:space="preserve">Από τον γάμο τους είχαν αποκτήσει </w:t>
      </w:r>
      <w:r w:rsidR="00587079">
        <w:rPr>
          <w:rFonts w:ascii="Bookman Old Style" w:hAnsi="Bookman Old Style"/>
          <w:sz w:val="28"/>
          <w:szCs w:val="28"/>
          <w:lang w:val="el-GR"/>
        </w:rPr>
        <w:t xml:space="preserve">δύο παιδιά των οποίων η επιμέλεια και φύλαξη ανατέθηκε στον Εφεσίβλητο. Πριν </w:t>
      </w:r>
      <w:r w:rsidR="00587079">
        <w:rPr>
          <w:rFonts w:ascii="Bookman Old Style" w:hAnsi="Bookman Old Style"/>
          <w:sz w:val="28"/>
          <w:szCs w:val="28"/>
          <w:lang w:val="el-GR"/>
        </w:rPr>
        <w:lastRenderedPageBreak/>
        <w:t xml:space="preserve">την έκδοση του διαζυγίου, ο Εφεσίβλητος εγκατέλειψε τη συζυγική κατοικία στην οποία εξακολούθησε να διαμένει η Εφεσείουσα. </w:t>
      </w:r>
    </w:p>
    <w:p w14:paraId="745BBFF0" w14:textId="7A4AF524" w:rsidR="00587079" w:rsidRDefault="00587079" w:rsidP="008603A3">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Τρία έτη αργότερα, ο Εφεσίβλητος καταχώρισε αγωγή ενώπιον του Επαρχιακού Δικαστηρίου Λευκωσίας εναντίον της Εφεσείουσας </w:t>
      </w:r>
      <w:r w:rsidR="00741C07">
        <w:rPr>
          <w:rFonts w:ascii="Bookman Old Style" w:hAnsi="Bookman Old Style"/>
          <w:sz w:val="28"/>
          <w:szCs w:val="28"/>
          <w:lang w:val="el-GR"/>
        </w:rPr>
        <w:t xml:space="preserve">αξιώνοντας </w:t>
      </w:r>
      <w:r>
        <w:rPr>
          <w:rFonts w:ascii="Bookman Old Style" w:hAnsi="Bookman Old Style"/>
          <w:sz w:val="28"/>
          <w:szCs w:val="28"/>
          <w:lang w:val="el-GR"/>
        </w:rPr>
        <w:t>διατάγματα με τα οποία η Εφεσείουσα</w:t>
      </w:r>
      <w:r w:rsidRPr="004B5AD4">
        <w:rPr>
          <w:rFonts w:ascii="Bookman Old Style" w:hAnsi="Bookman Old Style"/>
          <w:sz w:val="28"/>
          <w:szCs w:val="28"/>
          <w:lang w:val="el-GR"/>
        </w:rPr>
        <w:t xml:space="preserve">, </w:t>
      </w:r>
      <w:r>
        <w:rPr>
          <w:rFonts w:ascii="Bookman Old Style" w:hAnsi="Bookman Old Style"/>
          <w:sz w:val="28"/>
          <w:szCs w:val="28"/>
          <w:lang w:val="el-GR"/>
        </w:rPr>
        <w:t xml:space="preserve">οι αντιπρόσωποι και τα μέλη της οικογένειας της διατάσσονταν να παύσουν να επεμβαίνουν και ή εισέρχονται και ή χρησιμοποιούν την κατοικία και να παύσουν να παραμένουν εντός της εν λόγω ακίνητης ιδιοκτησίας, καθώς επίσης γενικές αποζημιώσεις για παράνομη επέμβαση και ειδικές αποζημιώσεις για τη μη χρήση και εκμετάλλευση αυτής από τον Εφεσίβλητο. </w:t>
      </w:r>
    </w:p>
    <w:p w14:paraId="7EDF4628" w14:textId="77777777" w:rsidR="00587079" w:rsidRDefault="00587079" w:rsidP="008603A3">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ab/>
        <w:t xml:space="preserve">Με την καταχώριση του κλητηρίου, ο Εφεσίβλητος καταχώρισε μονομερή αίτηση με την οποία ζητούσε προσωρινά διατάγματα με τα οποία να απαγορεύεται στην Εφεσείουσα, τους αντιπροσώπους και τα μέλη της οικογένειας της να επεμβαίνουν και χρησιμοποιούν την κατοικία και να εισέρχονται και παραμένουν εντός αυτής. </w:t>
      </w:r>
    </w:p>
    <w:p w14:paraId="569362FE" w14:textId="2D75F478" w:rsidR="00587079" w:rsidRDefault="00587079" w:rsidP="008603A3">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ab/>
        <w:t xml:space="preserve">Το πρωτόδικο Δικαστήριο δεν εξέδωσε οποιοδήποτε διάταγμα μονομερώς και διέταξε την επίδοση της αίτησης. Η Εφεσείουσα καταχώρισε ένσταση και η αίτηση οδηγήθηκε σε ακρόαση, το αποτέλεσμα της οποίας είναι η προσβαλλόμενη ενδιάμεση απόφαση. Το πρωτόδικο Δικαστήριο έκρινε πως είχε αρμοδιότητα να εκδικάσει την αγωγή και εξέδωσε </w:t>
      </w:r>
      <w:r w:rsidR="00741C07">
        <w:rPr>
          <w:rFonts w:ascii="Bookman Old Style" w:hAnsi="Bookman Old Style"/>
          <w:sz w:val="28"/>
          <w:szCs w:val="28"/>
          <w:lang w:val="el-GR"/>
        </w:rPr>
        <w:t xml:space="preserve">το αιτούμενο </w:t>
      </w:r>
      <w:r>
        <w:rPr>
          <w:rFonts w:ascii="Bookman Old Style" w:hAnsi="Bookman Old Style"/>
          <w:sz w:val="28"/>
          <w:szCs w:val="28"/>
          <w:lang w:val="el-GR"/>
        </w:rPr>
        <w:t xml:space="preserve">διάταγμα. </w:t>
      </w:r>
    </w:p>
    <w:p w14:paraId="6F498ADA" w14:textId="143CB6EA" w:rsidR="00587079" w:rsidRDefault="00587079" w:rsidP="008603A3">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Οι λόγοι </w:t>
      </w:r>
      <w:r w:rsidR="00BE19D1">
        <w:rPr>
          <w:rFonts w:ascii="Bookman Old Style" w:hAnsi="Bookman Old Style"/>
          <w:sz w:val="28"/>
          <w:szCs w:val="28"/>
          <w:lang w:val="el-GR"/>
        </w:rPr>
        <w:t>έ</w:t>
      </w:r>
      <w:r>
        <w:rPr>
          <w:rFonts w:ascii="Bookman Old Style" w:hAnsi="Bookman Old Style"/>
          <w:sz w:val="28"/>
          <w:szCs w:val="28"/>
          <w:lang w:val="el-GR"/>
        </w:rPr>
        <w:t>φεσης αφορούν στο ότι εσφαλμένα το πρωτόδικο Δικαστήριο αποφάσισε πως είχε δικαιοδοσία να εκδικάσει την αγωγή</w:t>
      </w:r>
      <w:r w:rsidR="00741C07">
        <w:rPr>
          <w:rFonts w:ascii="Bookman Old Style" w:hAnsi="Bookman Old Style"/>
          <w:sz w:val="28"/>
          <w:szCs w:val="28"/>
          <w:lang w:val="el-GR"/>
        </w:rPr>
        <w:t xml:space="preserve"> και διέταξε την </w:t>
      </w:r>
      <w:r>
        <w:rPr>
          <w:rFonts w:ascii="Bookman Old Style" w:hAnsi="Bookman Old Style"/>
          <w:sz w:val="28"/>
          <w:szCs w:val="28"/>
          <w:lang w:val="el-GR"/>
        </w:rPr>
        <w:t>επίδοση</w:t>
      </w:r>
      <w:r w:rsidR="00741C07">
        <w:rPr>
          <w:rFonts w:ascii="Bookman Old Style" w:hAnsi="Bookman Old Style"/>
          <w:sz w:val="28"/>
          <w:szCs w:val="28"/>
          <w:lang w:val="el-GR"/>
        </w:rPr>
        <w:t xml:space="preserve"> </w:t>
      </w:r>
      <w:r>
        <w:rPr>
          <w:rFonts w:ascii="Bookman Old Style" w:hAnsi="Bookman Old Style"/>
          <w:sz w:val="28"/>
          <w:szCs w:val="28"/>
          <w:lang w:val="el-GR"/>
        </w:rPr>
        <w:t>της μονομερούς αίτησης</w:t>
      </w:r>
      <w:r w:rsidR="00741C07">
        <w:rPr>
          <w:rFonts w:ascii="Bookman Old Style" w:hAnsi="Bookman Old Style"/>
          <w:sz w:val="28"/>
          <w:szCs w:val="28"/>
          <w:lang w:val="el-GR"/>
        </w:rPr>
        <w:t>, αντί να την απορρίψει</w:t>
      </w:r>
      <w:r>
        <w:rPr>
          <w:rFonts w:ascii="Bookman Old Style" w:hAnsi="Bookman Old Style"/>
          <w:sz w:val="28"/>
          <w:szCs w:val="28"/>
          <w:lang w:val="el-GR"/>
        </w:rPr>
        <w:t xml:space="preserve"> και πως ικανοποιούνταν οι προϋποθέσεις έκδοσης του εν λόγω διατάγματος.  </w:t>
      </w:r>
    </w:p>
    <w:p w14:paraId="7360D291" w14:textId="09C820A5" w:rsidR="00587079" w:rsidRDefault="00587079" w:rsidP="008603A3">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 Στα πλαίσια της αίτησης, ο Εφεσίβλητος ισχυρίστηκε ότι ο ίδιος δι</w:t>
      </w:r>
      <w:r w:rsidR="00426BDF">
        <w:rPr>
          <w:rFonts w:ascii="Bookman Old Style" w:hAnsi="Bookman Old Style"/>
          <w:sz w:val="28"/>
          <w:szCs w:val="28"/>
          <w:lang w:val="el-GR"/>
        </w:rPr>
        <w:t>έμενε</w:t>
      </w:r>
      <w:r>
        <w:rPr>
          <w:rFonts w:ascii="Bookman Old Style" w:hAnsi="Bookman Old Style"/>
          <w:sz w:val="28"/>
          <w:szCs w:val="28"/>
          <w:lang w:val="el-GR"/>
        </w:rPr>
        <w:t xml:space="preserve"> με τα παιδιά σε ενοικιαζόμενο διαμέρισμα και η Εφεσείουσα δι</w:t>
      </w:r>
      <w:r w:rsidR="00426BDF">
        <w:rPr>
          <w:rFonts w:ascii="Bookman Old Style" w:hAnsi="Bookman Old Style"/>
          <w:sz w:val="28"/>
          <w:szCs w:val="28"/>
          <w:lang w:val="el-GR"/>
        </w:rPr>
        <w:t xml:space="preserve">έμενε </w:t>
      </w:r>
      <w:r>
        <w:rPr>
          <w:rFonts w:ascii="Bookman Old Style" w:hAnsi="Bookman Old Style"/>
          <w:sz w:val="28"/>
          <w:szCs w:val="28"/>
          <w:lang w:val="el-GR"/>
        </w:rPr>
        <w:t xml:space="preserve">στην </w:t>
      </w:r>
      <w:r w:rsidR="004B57F9">
        <w:rPr>
          <w:rFonts w:ascii="Bookman Old Style" w:hAnsi="Bookman Old Style"/>
          <w:sz w:val="28"/>
          <w:szCs w:val="28"/>
          <w:lang w:val="el-GR"/>
        </w:rPr>
        <w:t xml:space="preserve">επίδικη </w:t>
      </w:r>
      <w:r>
        <w:rPr>
          <w:rFonts w:ascii="Bookman Old Style" w:hAnsi="Bookman Old Style"/>
          <w:sz w:val="28"/>
          <w:szCs w:val="28"/>
          <w:lang w:val="el-GR"/>
        </w:rPr>
        <w:t>κατοικία μαζί με τον συμβίο της και το παιδί που απέκτησαν. Ισχυρίστηκε περαιτέρω ότι η εν λόγω συζυγική κατοικία ανοικοδομήθηκε με προσωπικό του δάνειο το οποίο και αποπληρώνει μόνος</w:t>
      </w:r>
      <w:r w:rsidR="00BA792B">
        <w:rPr>
          <w:rFonts w:ascii="Bookman Old Style" w:hAnsi="Bookman Old Style"/>
          <w:sz w:val="28"/>
          <w:szCs w:val="28"/>
          <w:lang w:val="el-GR"/>
        </w:rPr>
        <w:t>,</w:t>
      </w:r>
      <w:r>
        <w:rPr>
          <w:rFonts w:ascii="Bookman Old Style" w:hAnsi="Bookman Old Style"/>
          <w:sz w:val="28"/>
          <w:szCs w:val="28"/>
          <w:lang w:val="el-GR"/>
        </w:rPr>
        <w:t xml:space="preserve"> ενώ η Εφεσείουσα δεν κατέβαλε οποιαδήποτε συνεισφορά είτε για την αγορά του οικοπέδου είτε για την αποπληρωμή του δανείου. Ο Εφεσίβλητος επικαλέστηκε οικονομικούς λόγους οι οποίοι καθιστούσαν αναγκαία την επιστροφή του και των παιδιών του στην εν λόγω κατοικία. </w:t>
      </w:r>
    </w:p>
    <w:p w14:paraId="647AEACD" w14:textId="17CBAEB0" w:rsidR="00587079" w:rsidRDefault="00587079" w:rsidP="008603A3">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ab/>
        <w:t xml:space="preserve">Η Εφεσείουσα, στην ένσταση της, ισχυρίστηκε ότι το Επαρχιακό Δικαστήριο στερείτο δικαιοδοσίας να εκδικάσει την επίδικη διαφορά και ότι αρμόδιο είναι το Οικογενειακό Δικαστήριο ενώπιον του οποίου </w:t>
      </w:r>
      <w:r w:rsidR="00B716B8">
        <w:rPr>
          <w:rFonts w:ascii="Bookman Old Style" w:hAnsi="Bookman Old Style"/>
          <w:sz w:val="28"/>
          <w:szCs w:val="28"/>
          <w:lang w:val="el-GR"/>
        </w:rPr>
        <w:t>είχε</w:t>
      </w:r>
      <w:r>
        <w:rPr>
          <w:rFonts w:ascii="Bookman Old Style" w:hAnsi="Bookman Old Style"/>
          <w:sz w:val="28"/>
          <w:szCs w:val="28"/>
          <w:lang w:val="el-GR"/>
        </w:rPr>
        <w:t xml:space="preserve"> ήδη καταχωρίσει αίτηση για τη ρύθμιση των περιουσιακών τους διαφορών. </w:t>
      </w:r>
      <w:r w:rsidR="007777E7">
        <w:rPr>
          <w:rFonts w:ascii="Bookman Old Style" w:hAnsi="Bookman Old Style"/>
          <w:sz w:val="28"/>
          <w:szCs w:val="28"/>
          <w:lang w:val="el-GR"/>
        </w:rPr>
        <w:t xml:space="preserve">Ισχυρίστηκε ακόμη </w:t>
      </w:r>
      <w:r>
        <w:rPr>
          <w:rFonts w:ascii="Bookman Old Style" w:hAnsi="Bookman Old Style"/>
          <w:sz w:val="28"/>
          <w:szCs w:val="28"/>
          <w:lang w:val="el-GR"/>
        </w:rPr>
        <w:t xml:space="preserve">ότι το ακίνητο αποκτήθηκε κατά τη διάρκεια του γάμου τους και </w:t>
      </w:r>
      <w:r w:rsidR="007777E7">
        <w:rPr>
          <w:rFonts w:ascii="Bookman Old Style" w:hAnsi="Bookman Old Style"/>
          <w:sz w:val="28"/>
          <w:szCs w:val="28"/>
          <w:lang w:val="el-GR"/>
        </w:rPr>
        <w:t xml:space="preserve">ότι </w:t>
      </w:r>
      <w:r>
        <w:rPr>
          <w:rFonts w:ascii="Bookman Old Style" w:hAnsi="Bookman Old Style"/>
          <w:sz w:val="28"/>
          <w:szCs w:val="28"/>
          <w:lang w:val="el-GR"/>
        </w:rPr>
        <w:t>έχει συνεισφέρει και η ίδια</w:t>
      </w:r>
      <w:r w:rsidR="007777E7">
        <w:rPr>
          <w:rFonts w:ascii="Bookman Old Style" w:hAnsi="Bookman Old Style"/>
          <w:sz w:val="28"/>
          <w:szCs w:val="28"/>
          <w:lang w:val="el-GR"/>
        </w:rPr>
        <w:t xml:space="preserve"> στην απόκτηση του</w:t>
      </w:r>
      <w:r>
        <w:rPr>
          <w:rFonts w:ascii="Bookman Old Style" w:hAnsi="Bookman Old Style"/>
          <w:sz w:val="28"/>
          <w:szCs w:val="28"/>
          <w:lang w:val="el-GR"/>
        </w:rPr>
        <w:t xml:space="preserve">, εξού και θεωρεί ότι οι ισχυρισμοί του Εφεσίβλητου είναι λανθασμένοι και παραπλανητικοί. </w:t>
      </w:r>
    </w:p>
    <w:p w14:paraId="5A8EAA7D" w14:textId="2D8C06BB" w:rsidR="00587079" w:rsidRDefault="00587079" w:rsidP="00E20C00">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ab/>
        <w:t>Αποτελεί αδιαμφισβήτητο γεγονός ότι στις 7.12.2015 η Εφεσείουσα καταχώρισε την Αίτηση 126/2015 ενώπιον του Οικογενειακού Δικαστηρίου Λευκωσίας εναντίον του Εφεσείοντος με την οποία επεδίωξε τη ρύθμιση των περιουσιακών τους διαφορών και αξίωνε, μεταξύ άλλων, τη συνεισφορά της στην υπό κρίση ακίνητη ιδιοκτησία και συγκεκριμένα την εγγραφή της ως ιδιοκτήτρια</w:t>
      </w:r>
      <w:r w:rsidR="0075013C">
        <w:rPr>
          <w:rFonts w:ascii="Bookman Old Style" w:hAnsi="Bookman Old Style"/>
          <w:sz w:val="28"/>
          <w:szCs w:val="28"/>
          <w:lang w:val="el-GR"/>
        </w:rPr>
        <w:t>ς</w:t>
      </w:r>
      <w:r>
        <w:rPr>
          <w:rFonts w:ascii="Bookman Old Style" w:hAnsi="Bookman Old Style"/>
          <w:sz w:val="28"/>
          <w:szCs w:val="28"/>
          <w:lang w:val="el-GR"/>
        </w:rPr>
        <w:t xml:space="preserve"> του ½ μεριδίου της κατοικίας και του ¼ μεριδίου του ακινήτου επί του οποίου αυτή έχει ανεγερθεί. Στο στάδιο της ακρόασης της Έφεσης, ο Εφεσίβλητος παρουσίασε αντίγραφο της απόφασης του Οικογενειακού Δικαστηρίου ημερ. 24.6.2022 με την οποία η αίτηση απερρίφθη</w:t>
      </w:r>
      <w:r w:rsidR="002E3635">
        <w:rPr>
          <w:rFonts w:ascii="Bookman Old Style" w:hAnsi="Bookman Old Style"/>
          <w:sz w:val="28"/>
          <w:szCs w:val="28"/>
          <w:lang w:val="el-GR"/>
        </w:rPr>
        <w:t xml:space="preserve"> στη βάση του ότι η Εφεσείουσα απέτυχε να αποδείξει την όποια αύξηση της εν λόγω περιουσίας</w:t>
      </w:r>
      <w:r w:rsidR="0024612D">
        <w:rPr>
          <w:rFonts w:ascii="Bookman Old Style" w:hAnsi="Bookman Old Style"/>
          <w:sz w:val="28"/>
          <w:szCs w:val="28"/>
          <w:lang w:val="el-GR"/>
        </w:rPr>
        <w:t xml:space="preserve"> για να τίθεται ζήτημα συνεισφοράς</w:t>
      </w:r>
      <w:r w:rsidR="00FF4618">
        <w:rPr>
          <w:rFonts w:ascii="Bookman Old Style" w:hAnsi="Bookman Old Style"/>
          <w:sz w:val="28"/>
          <w:szCs w:val="28"/>
          <w:lang w:val="el-GR"/>
        </w:rPr>
        <w:t xml:space="preserve"> </w:t>
      </w:r>
      <w:r w:rsidR="006413AB">
        <w:rPr>
          <w:rFonts w:ascii="Bookman Old Style" w:hAnsi="Bookman Old Style"/>
          <w:sz w:val="28"/>
          <w:szCs w:val="28"/>
          <w:lang w:val="el-GR"/>
        </w:rPr>
        <w:t xml:space="preserve">εκ μέρους </w:t>
      </w:r>
      <w:r w:rsidR="00FF4618">
        <w:rPr>
          <w:rFonts w:ascii="Bookman Old Style" w:hAnsi="Bookman Old Style"/>
          <w:sz w:val="28"/>
          <w:szCs w:val="28"/>
          <w:lang w:val="el-GR"/>
        </w:rPr>
        <w:t>της</w:t>
      </w:r>
      <w:r>
        <w:rPr>
          <w:rFonts w:ascii="Bookman Old Style" w:hAnsi="Bookman Old Style"/>
          <w:sz w:val="28"/>
          <w:szCs w:val="28"/>
          <w:lang w:val="el-GR"/>
        </w:rPr>
        <w:t xml:space="preserve">. </w:t>
      </w:r>
    </w:p>
    <w:p w14:paraId="0B836B08" w14:textId="162405D2" w:rsidR="009C5391" w:rsidRPr="00A22673" w:rsidRDefault="009C5391" w:rsidP="00E20C00">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ab/>
      </w:r>
      <w:r w:rsidR="00A22673">
        <w:rPr>
          <w:rFonts w:ascii="Bookman Old Style" w:hAnsi="Bookman Old Style"/>
          <w:sz w:val="28"/>
          <w:szCs w:val="28"/>
          <w:lang w:val="el-GR"/>
        </w:rPr>
        <w:t xml:space="preserve"> </w:t>
      </w:r>
    </w:p>
    <w:p w14:paraId="6C607F52" w14:textId="3FA598D9" w:rsidR="00587079" w:rsidRDefault="00587079" w:rsidP="00E76EE0">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ab/>
        <w:t xml:space="preserve">Οι δύο πρώτοι λόγοι </w:t>
      </w:r>
      <w:r w:rsidR="00B92720">
        <w:rPr>
          <w:rFonts w:ascii="Bookman Old Style" w:hAnsi="Bookman Old Style"/>
          <w:sz w:val="28"/>
          <w:szCs w:val="28"/>
          <w:lang w:val="el-GR"/>
        </w:rPr>
        <w:t>έ</w:t>
      </w:r>
      <w:r>
        <w:rPr>
          <w:rFonts w:ascii="Bookman Old Style" w:hAnsi="Bookman Old Style"/>
          <w:sz w:val="28"/>
          <w:szCs w:val="28"/>
          <w:lang w:val="el-GR"/>
        </w:rPr>
        <w:t xml:space="preserve">φεσης αφορούν στο ότι είναι εσφαλμένη η κρίση του πρωτόδικου Δικαστηρίου πως αρμόδιο να εκδικάσει την επίδικη διαφορά είναι το Επαρχιακό Δικαστήριο και πως η υπόθεση αφορά σε παράνομη επέμβαση. Λόγω της συνάφειας τους, θεωρούμε ορθό να τους εξετάσουμε μαζί.  </w:t>
      </w:r>
    </w:p>
    <w:p w14:paraId="08C21D6C" w14:textId="3C2D48E8" w:rsidR="00EA5D4D" w:rsidRDefault="00EA5D4D" w:rsidP="00E20C00">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ab/>
      </w:r>
      <w:r w:rsidR="00E76EE0">
        <w:rPr>
          <w:rFonts w:ascii="Bookman Old Style" w:hAnsi="Bookman Old Style"/>
          <w:sz w:val="28"/>
          <w:szCs w:val="28"/>
          <w:lang w:val="el-GR"/>
        </w:rPr>
        <w:t xml:space="preserve">Το </w:t>
      </w:r>
      <w:r>
        <w:rPr>
          <w:rFonts w:ascii="Bookman Old Style" w:hAnsi="Bookman Old Style"/>
          <w:sz w:val="28"/>
          <w:szCs w:val="28"/>
          <w:lang w:val="el-GR"/>
        </w:rPr>
        <w:t>πρωτόδικο Δικαστήριο ανέφερε ότι με βάση τη γενική οπισθογράφηση και το περιεχόμενο της ένορκης δήλωσης που συνόδευε την αίτηση, η βάση αγωγής είναι η παράνομη επέμβαση. Πρόσθεσε πως ο Εφεσίβλητος ισχυρίζεται ότι</w:t>
      </w:r>
      <w:r w:rsidR="00E13F65">
        <w:rPr>
          <w:rFonts w:ascii="Bookman Old Style" w:hAnsi="Bookman Old Style"/>
          <w:sz w:val="28"/>
          <w:szCs w:val="28"/>
          <w:lang w:val="el-GR"/>
        </w:rPr>
        <w:t xml:space="preserve"> τόσο ο ίδιος όσο και τα τέκνα τους </w:t>
      </w:r>
      <w:r>
        <w:rPr>
          <w:rFonts w:ascii="Bookman Old Style" w:hAnsi="Bookman Old Style"/>
          <w:sz w:val="28"/>
          <w:szCs w:val="28"/>
          <w:lang w:val="el-GR"/>
        </w:rPr>
        <w:t>αντλ</w:t>
      </w:r>
      <w:r w:rsidR="00E13F65">
        <w:rPr>
          <w:rFonts w:ascii="Bookman Old Style" w:hAnsi="Bookman Old Style"/>
          <w:sz w:val="28"/>
          <w:szCs w:val="28"/>
          <w:lang w:val="el-GR"/>
        </w:rPr>
        <w:t>ούν</w:t>
      </w:r>
      <w:r>
        <w:rPr>
          <w:rFonts w:ascii="Bookman Old Style" w:hAnsi="Bookman Old Style"/>
          <w:sz w:val="28"/>
          <w:szCs w:val="28"/>
          <w:lang w:val="el-GR"/>
        </w:rPr>
        <w:t xml:space="preserve"> δικαίωμα κατοχής του ακινήτου</w:t>
      </w:r>
      <w:r w:rsidR="00E13F65">
        <w:rPr>
          <w:rFonts w:ascii="Bookman Old Style" w:hAnsi="Bookman Old Style"/>
          <w:sz w:val="28"/>
          <w:szCs w:val="28"/>
          <w:lang w:val="el-GR"/>
        </w:rPr>
        <w:t xml:space="preserve"> </w:t>
      </w:r>
      <w:r>
        <w:rPr>
          <w:rFonts w:ascii="Bookman Old Style" w:hAnsi="Bookman Old Style"/>
          <w:sz w:val="28"/>
          <w:szCs w:val="28"/>
          <w:lang w:val="el-GR"/>
        </w:rPr>
        <w:t>μετά την έκδοση του διαζυγίου</w:t>
      </w:r>
      <w:r w:rsidR="00E13F65">
        <w:rPr>
          <w:rFonts w:ascii="Bookman Old Style" w:hAnsi="Bookman Old Style"/>
          <w:sz w:val="28"/>
          <w:szCs w:val="28"/>
          <w:lang w:val="el-GR"/>
        </w:rPr>
        <w:t xml:space="preserve">, ότι </w:t>
      </w:r>
      <w:r>
        <w:rPr>
          <w:rFonts w:ascii="Bookman Old Style" w:hAnsi="Bookman Old Style"/>
          <w:sz w:val="28"/>
          <w:szCs w:val="28"/>
          <w:lang w:val="el-GR"/>
        </w:rPr>
        <w:t xml:space="preserve">το επίδικο ακίνητο είναι εγγεγραμμένο στο όνομα του και </w:t>
      </w:r>
      <w:r w:rsidR="00E13F65">
        <w:rPr>
          <w:rFonts w:ascii="Bookman Old Style" w:hAnsi="Bookman Old Style"/>
          <w:sz w:val="28"/>
          <w:szCs w:val="28"/>
          <w:lang w:val="el-GR"/>
        </w:rPr>
        <w:t xml:space="preserve">ότι </w:t>
      </w:r>
      <w:r>
        <w:rPr>
          <w:rFonts w:ascii="Bookman Old Style" w:hAnsi="Bookman Old Style"/>
          <w:sz w:val="28"/>
          <w:szCs w:val="28"/>
          <w:lang w:val="el-GR"/>
        </w:rPr>
        <w:t xml:space="preserve">η Εφεσείουσα παράνομα επεμβαίνει σε αυτό. Ισχυρίζεται </w:t>
      </w:r>
      <w:r w:rsidR="00576EDD">
        <w:rPr>
          <w:rFonts w:ascii="Bookman Old Style" w:hAnsi="Bookman Old Style"/>
          <w:sz w:val="28"/>
          <w:szCs w:val="28"/>
          <w:lang w:val="el-GR"/>
        </w:rPr>
        <w:t xml:space="preserve">επίσης </w:t>
      </w:r>
      <w:r>
        <w:rPr>
          <w:rFonts w:ascii="Bookman Old Style" w:hAnsi="Bookman Old Style"/>
          <w:sz w:val="28"/>
          <w:szCs w:val="28"/>
          <w:lang w:val="el-GR"/>
        </w:rPr>
        <w:t xml:space="preserve">ότι η Εφεσείουσα δεν έχει οποιαδήποτε δικαίωμα, συμβατικό ή </w:t>
      </w:r>
      <w:r w:rsidR="00576EDD">
        <w:rPr>
          <w:rFonts w:ascii="Bookman Old Style" w:hAnsi="Bookman Old Style"/>
          <w:sz w:val="28"/>
          <w:szCs w:val="28"/>
          <w:lang w:val="el-GR"/>
        </w:rPr>
        <w:t>άλλως</w:t>
      </w:r>
      <w:r>
        <w:rPr>
          <w:rFonts w:ascii="Bookman Old Style" w:hAnsi="Bookman Old Style"/>
          <w:sz w:val="28"/>
          <w:szCs w:val="28"/>
          <w:lang w:val="el-GR"/>
        </w:rPr>
        <w:t xml:space="preserve"> πως, στην εν λόγω κατοικία</w:t>
      </w:r>
      <w:r w:rsidR="00576EDD">
        <w:rPr>
          <w:rFonts w:ascii="Bookman Old Style" w:hAnsi="Bookman Old Style"/>
          <w:sz w:val="28"/>
          <w:szCs w:val="28"/>
          <w:lang w:val="el-GR"/>
        </w:rPr>
        <w:t>. Τ</w:t>
      </w:r>
      <w:r>
        <w:rPr>
          <w:rFonts w:ascii="Bookman Old Style" w:hAnsi="Bookman Old Style"/>
          <w:sz w:val="28"/>
          <w:szCs w:val="28"/>
          <w:lang w:val="el-GR"/>
        </w:rPr>
        <w:t>ο πρωτόδικο Δικαστήριο θεώρησε ότι οι ισχυρισμοί της Εφεσείουσας για συνεισφορά δεν διαφοροποιούν τα πιο πάνω</w:t>
      </w:r>
      <w:r w:rsidR="00517432" w:rsidRPr="00517432">
        <w:rPr>
          <w:rFonts w:ascii="Bookman Old Style" w:hAnsi="Bookman Old Style"/>
          <w:sz w:val="28"/>
          <w:szCs w:val="28"/>
          <w:lang w:val="el-GR"/>
        </w:rPr>
        <w:t xml:space="preserve"> </w:t>
      </w:r>
      <w:r w:rsidR="00576EDD">
        <w:rPr>
          <w:rFonts w:ascii="Bookman Old Style" w:hAnsi="Bookman Old Style"/>
          <w:sz w:val="28"/>
          <w:szCs w:val="28"/>
          <w:lang w:val="el-GR"/>
        </w:rPr>
        <w:t>και προέβη στην κατάληξη του περί ύπαρξης αρμοδιότητας</w:t>
      </w:r>
      <w:r>
        <w:rPr>
          <w:rFonts w:ascii="Bookman Old Style" w:hAnsi="Bookman Old Style"/>
          <w:sz w:val="28"/>
          <w:szCs w:val="28"/>
          <w:lang w:val="el-GR"/>
        </w:rPr>
        <w:t xml:space="preserve">. </w:t>
      </w:r>
    </w:p>
    <w:p w14:paraId="073979A3" w14:textId="183B3A17" w:rsidR="00FF709B" w:rsidRDefault="00FF709B" w:rsidP="00E20C00">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Το </w:t>
      </w:r>
      <w:r w:rsidRPr="00FC2958">
        <w:rPr>
          <w:rFonts w:ascii="Bookman Old Style" w:hAnsi="Bookman Old Style"/>
          <w:b/>
          <w:bCs/>
          <w:i/>
          <w:iCs/>
          <w:sz w:val="28"/>
          <w:szCs w:val="28"/>
          <w:lang w:val="el-GR"/>
        </w:rPr>
        <w:t>άρθρο 11(1)(ε)</w:t>
      </w:r>
      <w:r>
        <w:rPr>
          <w:rFonts w:ascii="Bookman Old Style" w:hAnsi="Bookman Old Style"/>
          <w:sz w:val="28"/>
          <w:szCs w:val="28"/>
          <w:lang w:val="el-GR"/>
        </w:rPr>
        <w:t xml:space="preserve"> του </w:t>
      </w:r>
      <w:r w:rsidR="0063677F" w:rsidRPr="0063677F">
        <w:rPr>
          <w:rFonts w:ascii="Bookman Old Style" w:hAnsi="Bookman Old Style"/>
          <w:b/>
          <w:bCs/>
          <w:i/>
          <w:iCs/>
          <w:sz w:val="28"/>
          <w:szCs w:val="28"/>
          <w:lang w:val="el-GR"/>
        </w:rPr>
        <w:t>περί Οικογενειακών Δικαστηρίων Νόμου του 1990,</w:t>
      </w:r>
      <w:r w:rsidR="0063677F">
        <w:rPr>
          <w:rFonts w:ascii="Bookman Old Style" w:hAnsi="Bookman Old Style"/>
          <w:sz w:val="28"/>
          <w:szCs w:val="28"/>
          <w:lang w:val="el-GR"/>
        </w:rPr>
        <w:t xml:space="preserve"> </w:t>
      </w:r>
      <w:r w:rsidRPr="00FC2958">
        <w:rPr>
          <w:rFonts w:ascii="Bookman Old Style" w:hAnsi="Bookman Old Style"/>
          <w:b/>
          <w:bCs/>
          <w:i/>
          <w:iCs/>
          <w:sz w:val="28"/>
          <w:szCs w:val="28"/>
          <w:lang w:val="el-GR"/>
        </w:rPr>
        <w:t>Ν.23/90</w:t>
      </w:r>
      <w:r>
        <w:rPr>
          <w:rFonts w:ascii="Bookman Old Style" w:hAnsi="Bookman Old Style"/>
          <w:sz w:val="28"/>
          <w:szCs w:val="28"/>
          <w:lang w:val="el-GR"/>
        </w:rPr>
        <w:t xml:space="preserve"> παρέχει εξουσία στο Οικογενειακό Δικαστήριο να εκδικάζει θέματα περιουσιακών σχέσεων των συζύγων. Ο όρος «</w:t>
      </w:r>
      <w:r w:rsidRPr="00FC2958">
        <w:rPr>
          <w:rFonts w:ascii="Bookman Old Style" w:hAnsi="Bookman Old Style"/>
          <w:i/>
          <w:iCs/>
          <w:sz w:val="28"/>
          <w:szCs w:val="28"/>
          <w:lang w:val="el-GR"/>
        </w:rPr>
        <w:t>περιουσιακές σχέσεις</w:t>
      </w:r>
      <w:r>
        <w:rPr>
          <w:rFonts w:ascii="Bookman Old Style" w:hAnsi="Bookman Old Style"/>
          <w:sz w:val="28"/>
          <w:szCs w:val="28"/>
          <w:lang w:val="el-GR"/>
        </w:rPr>
        <w:t xml:space="preserve">» ερμηνεύεται στο </w:t>
      </w:r>
      <w:r w:rsidRPr="00FC2958">
        <w:rPr>
          <w:rFonts w:ascii="Bookman Old Style" w:hAnsi="Bookman Old Style"/>
          <w:b/>
          <w:bCs/>
          <w:i/>
          <w:iCs/>
          <w:sz w:val="28"/>
          <w:szCs w:val="28"/>
          <w:lang w:val="el-GR"/>
        </w:rPr>
        <w:t>άρθρο 2</w:t>
      </w:r>
      <w:r>
        <w:rPr>
          <w:rFonts w:ascii="Bookman Old Style" w:hAnsi="Bookman Old Style"/>
          <w:sz w:val="28"/>
          <w:szCs w:val="28"/>
          <w:lang w:val="el-GR"/>
        </w:rPr>
        <w:t xml:space="preserve"> του Νόμου ως «</w:t>
      </w:r>
      <w:r w:rsidRPr="00FC2958">
        <w:rPr>
          <w:rFonts w:ascii="Bookman Old Style" w:hAnsi="Bookman Old Style"/>
          <w:i/>
          <w:iCs/>
          <w:sz w:val="28"/>
          <w:szCs w:val="28"/>
          <w:lang w:val="el-GR"/>
        </w:rPr>
        <w:t xml:space="preserve">οι σχέσεις που αφορούν κινητή και ακίνητη περιουσία η οποία αποκτήθηκε πριν από το </w:t>
      </w:r>
      <w:r w:rsidR="009D6799" w:rsidRPr="00FC2958">
        <w:rPr>
          <w:rFonts w:ascii="Bookman Old Style" w:hAnsi="Bookman Old Style"/>
          <w:i/>
          <w:iCs/>
          <w:sz w:val="28"/>
          <w:szCs w:val="28"/>
          <w:lang w:val="el-GR"/>
        </w:rPr>
        <w:t>γάμο</w:t>
      </w:r>
      <w:r w:rsidRPr="00FC2958">
        <w:rPr>
          <w:rFonts w:ascii="Bookman Old Style" w:hAnsi="Bookman Old Style"/>
          <w:i/>
          <w:iCs/>
          <w:sz w:val="28"/>
          <w:szCs w:val="28"/>
          <w:lang w:val="el-GR"/>
        </w:rPr>
        <w:t xml:space="preserve"> µε την προοπτική του </w:t>
      </w:r>
      <w:r w:rsidR="009D6799" w:rsidRPr="00FC2958">
        <w:rPr>
          <w:rFonts w:ascii="Bookman Old Style" w:hAnsi="Bookman Old Style"/>
          <w:i/>
          <w:iCs/>
          <w:sz w:val="28"/>
          <w:szCs w:val="28"/>
          <w:lang w:val="el-GR"/>
        </w:rPr>
        <w:t>γάμου</w:t>
      </w:r>
      <w:r w:rsidRPr="00FC2958">
        <w:rPr>
          <w:rFonts w:ascii="Bookman Old Style" w:hAnsi="Bookman Old Style"/>
          <w:i/>
          <w:iCs/>
          <w:sz w:val="28"/>
          <w:szCs w:val="28"/>
          <w:lang w:val="el-GR"/>
        </w:rPr>
        <w:t xml:space="preserve"> ή οποτεδήποτε µ</w:t>
      </w:r>
      <w:r w:rsidR="009D6799">
        <w:rPr>
          <w:rFonts w:ascii="Bookman Old Style" w:hAnsi="Bookman Old Style"/>
          <w:i/>
          <w:iCs/>
          <w:sz w:val="28"/>
          <w:szCs w:val="28"/>
          <w:lang w:val="el-GR"/>
        </w:rPr>
        <w:t>ετά</w:t>
      </w:r>
      <w:r w:rsidRPr="00FC2958">
        <w:rPr>
          <w:rFonts w:ascii="Bookman Old Style" w:hAnsi="Bookman Old Style"/>
          <w:i/>
          <w:iCs/>
          <w:sz w:val="28"/>
          <w:szCs w:val="28"/>
          <w:lang w:val="el-GR"/>
        </w:rPr>
        <w:t xml:space="preserve"> τη σύναψη του </w:t>
      </w:r>
      <w:r w:rsidR="009D6799" w:rsidRPr="00FC2958">
        <w:rPr>
          <w:rFonts w:ascii="Bookman Old Style" w:hAnsi="Bookman Old Style"/>
          <w:i/>
          <w:iCs/>
          <w:sz w:val="28"/>
          <w:szCs w:val="28"/>
          <w:lang w:val="el-GR"/>
        </w:rPr>
        <w:t>γάμου</w:t>
      </w:r>
      <w:r w:rsidRPr="00FC2958">
        <w:rPr>
          <w:rFonts w:ascii="Bookman Old Style" w:hAnsi="Bookman Old Style"/>
          <w:i/>
          <w:iCs/>
          <w:sz w:val="28"/>
          <w:szCs w:val="28"/>
          <w:lang w:val="el-GR"/>
        </w:rPr>
        <w:t xml:space="preserve"> από οποιοδήποτε από τους συζύγους, </w:t>
      </w:r>
      <w:r w:rsidR="009D6799" w:rsidRPr="00FC2958">
        <w:rPr>
          <w:rFonts w:ascii="Bookman Old Style" w:hAnsi="Bookman Old Style"/>
          <w:i/>
          <w:iCs/>
          <w:sz w:val="28"/>
          <w:szCs w:val="28"/>
          <w:lang w:val="el-GR"/>
        </w:rPr>
        <w:t>σύμφωνα</w:t>
      </w:r>
      <w:r w:rsidRPr="00FC2958">
        <w:rPr>
          <w:rFonts w:ascii="Bookman Old Style" w:hAnsi="Bookman Old Style"/>
          <w:i/>
          <w:iCs/>
          <w:sz w:val="28"/>
          <w:szCs w:val="28"/>
          <w:lang w:val="el-GR"/>
        </w:rPr>
        <w:t xml:space="preserve"> µε τις διατάξεις των περί </w:t>
      </w:r>
      <w:r w:rsidR="009D6799" w:rsidRPr="00FC2958">
        <w:rPr>
          <w:rFonts w:ascii="Bookman Old Style" w:hAnsi="Bookman Old Style"/>
          <w:i/>
          <w:iCs/>
          <w:sz w:val="28"/>
          <w:szCs w:val="28"/>
          <w:lang w:val="el-GR"/>
        </w:rPr>
        <w:t>Ρυθμίσεως</w:t>
      </w:r>
      <w:r w:rsidRPr="00FC2958">
        <w:rPr>
          <w:rFonts w:ascii="Bookman Old Style" w:hAnsi="Bookman Old Style"/>
          <w:i/>
          <w:iCs/>
          <w:sz w:val="28"/>
          <w:szCs w:val="28"/>
          <w:lang w:val="el-GR"/>
        </w:rPr>
        <w:t xml:space="preserve"> των Περιουσιακών Σχέσεων των Συζύγων </w:t>
      </w:r>
      <w:r w:rsidR="009D6799" w:rsidRPr="00FC2958">
        <w:rPr>
          <w:rFonts w:ascii="Bookman Old Style" w:hAnsi="Bookman Old Style"/>
          <w:i/>
          <w:iCs/>
          <w:sz w:val="28"/>
          <w:szCs w:val="28"/>
          <w:lang w:val="el-GR"/>
        </w:rPr>
        <w:t>Νόμων</w:t>
      </w:r>
      <w:r w:rsidRPr="00FC2958">
        <w:rPr>
          <w:rFonts w:ascii="Bookman Old Style" w:hAnsi="Bookman Old Style"/>
          <w:i/>
          <w:iCs/>
          <w:sz w:val="28"/>
          <w:szCs w:val="28"/>
          <w:lang w:val="el-GR"/>
        </w:rPr>
        <w:t xml:space="preserve"> του 1991 έως 1999</w:t>
      </w:r>
      <w:r>
        <w:rPr>
          <w:rFonts w:ascii="Bookman Old Style" w:hAnsi="Bookman Old Style"/>
          <w:sz w:val="28"/>
          <w:szCs w:val="28"/>
          <w:lang w:val="el-GR"/>
        </w:rPr>
        <w:t>». Ο όρος «</w:t>
      </w:r>
      <w:r w:rsidRPr="00FC2958">
        <w:rPr>
          <w:rFonts w:ascii="Bookman Old Style" w:hAnsi="Bookman Old Style"/>
          <w:i/>
          <w:iCs/>
          <w:sz w:val="28"/>
          <w:szCs w:val="28"/>
          <w:lang w:val="el-GR"/>
        </w:rPr>
        <w:t>περιουσία</w:t>
      </w:r>
      <w:r>
        <w:rPr>
          <w:rFonts w:ascii="Bookman Old Style" w:hAnsi="Bookman Old Style"/>
          <w:sz w:val="28"/>
          <w:szCs w:val="28"/>
          <w:lang w:val="el-GR"/>
        </w:rPr>
        <w:t xml:space="preserve">» ερμηνεύεται στο </w:t>
      </w:r>
      <w:r w:rsidRPr="00FC2958">
        <w:rPr>
          <w:rFonts w:ascii="Bookman Old Style" w:hAnsi="Bookman Old Style"/>
          <w:b/>
          <w:bCs/>
          <w:i/>
          <w:iCs/>
          <w:sz w:val="28"/>
          <w:szCs w:val="28"/>
          <w:lang w:val="el-GR"/>
        </w:rPr>
        <w:t>άρθρο 2</w:t>
      </w:r>
      <w:r>
        <w:rPr>
          <w:rFonts w:ascii="Bookman Old Style" w:hAnsi="Bookman Old Style"/>
          <w:sz w:val="28"/>
          <w:szCs w:val="28"/>
          <w:lang w:val="el-GR"/>
        </w:rPr>
        <w:t xml:space="preserve"> του </w:t>
      </w:r>
      <w:r w:rsidR="00B3318B" w:rsidRPr="00954554">
        <w:rPr>
          <w:rFonts w:ascii="Bookman Old Style" w:hAnsi="Bookman Old Style"/>
          <w:b/>
          <w:bCs/>
          <w:i/>
          <w:iCs/>
          <w:sz w:val="28"/>
          <w:szCs w:val="28"/>
          <w:lang w:val="el-GR"/>
        </w:rPr>
        <w:t>περί Ρυθμίσεως των Περιουσιακών Σχέσεων των Συζύγων Νόμο του 1991,</w:t>
      </w:r>
      <w:r w:rsidR="00B3318B">
        <w:rPr>
          <w:rFonts w:ascii="Bookman Old Style" w:hAnsi="Bookman Old Style"/>
          <w:sz w:val="28"/>
          <w:szCs w:val="28"/>
          <w:lang w:val="el-GR"/>
        </w:rPr>
        <w:t xml:space="preserve"> </w:t>
      </w:r>
      <w:r w:rsidRPr="00FC2958">
        <w:rPr>
          <w:rFonts w:ascii="Bookman Old Style" w:hAnsi="Bookman Old Style"/>
          <w:b/>
          <w:bCs/>
          <w:i/>
          <w:iCs/>
          <w:sz w:val="28"/>
          <w:szCs w:val="28"/>
          <w:lang w:val="el-GR"/>
        </w:rPr>
        <w:t>Ν.232/91</w:t>
      </w:r>
      <w:r>
        <w:rPr>
          <w:rFonts w:ascii="Bookman Old Style" w:hAnsi="Bookman Old Style"/>
          <w:sz w:val="28"/>
          <w:szCs w:val="28"/>
          <w:lang w:val="el-GR"/>
        </w:rPr>
        <w:t xml:space="preserve"> ως «</w:t>
      </w:r>
      <w:r w:rsidRPr="00FC2958">
        <w:rPr>
          <w:rFonts w:ascii="Bookman Old Style" w:hAnsi="Bookman Old Style"/>
          <w:i/>
          <w:iCs/>
          <w:sz w:val="28"/>
          <w:szCs w:val="28"/>
          <w:lang w:val="el-GR"/>
        </w:rPr>
        <w:t>κινητή και ακίνητη ιδιοκτησία η οποία αποκτήθηκε πριν από το γάμο με την προοπτική του γάμου ή οποτεδήποτε μετά τη σύναψη του γάμου από οποιοδήποτε από τους συζύγους</w:t>
      </w:r>
      <w:r>
        <w:rPr>
          <w:rFonts w:ascii="Bookman Old Style" w:hAnsi="Bookman Old Style"/>
          <w:sz w:val="28"/>
          <w:szCs w:val="28"/>
          <w:lang w:val="el-GR"/>
        </w:rPr>
        <w:t xml:space="preserve">». </w:t>
      </w:r>
    </w:p>
    <w:p w14:paraId="22BD5DEF" w14:textId="184AACFA" w:rsidR="00687E30" w:rsidRDefault="00687E30" w:rsidP="008603A3">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Στην</w:t>
      </w:r>
      <w:r w:rsidR="00DA27D3">
        <w:rPr>
          <w:rFonts w:ascii="Bookman Old Style" w:hAnsi="Bookman Old Style"/>
          <w:sz w:val="28"/>
          <w:szCs w:val="28"/>
          <w:lang w:val="el-GR"/>
        </w:rPr>
        <w:t xml:space="preserve"> υπόθεση </w:t>
      </w:r>
      <w:r w:rsidR="00DA27D3" w:rsidRPr="00DA27D3">
        <w:rPr>
          <w:rFonts w:ascii="Bookman Old Style" w:hAnsi="Bookman Old Style"/>
          <w:b/>
          <w:bCs/>
          <w:i/>
          <w:iCs/>
          <w:sz w:val="28"/>
          <w:szCs w:val="28"/>
          <w:lang w:val="el-GR"/>
        </w:rPr>
        <w:t xml:space="preserve">Φιλίππου </w:t>
      </w:r>
      <w:r w:rsidR="00DA27D3" w:rsidRPr="00DA27D3">
        <w:rPr>
          <w:rFonts w:ascii="Bookman Old Style" w:hAnsi="Bookman Old Style"/>
          <w:b/>
          <w:bCs/>
          <w:i/>
          <w:iCs/>
          <w:sz w:val="28"/>
          <w:szCs w:val="28"/>
        </w:rPr>
        <w:t>v</w:t>
      </w:r>
      <w:r w:rsidR="00DA27D3" w:rsidRPr="00DA27D3">
        <w:rPr>
          <w:rFonts w:ascii="Bookman Old Style" w:hAnsi="Bookman Old Style"/>
          <w:b/>
          <w:bCs/>
          <w:i/>
          <w:iCs/>
          <w:sz w:val="28"/>
          <w:szCs w:val="28"/>
          <w:lang w:val="el-GR"/>
        </w:rPr>
        <w:t>. Φιλίππου (2003) 1(Γ) Α.Α.Δ. 1343</w:t>
      </w:r>
      <w:r w:rsidR="00DA27D3">
        <w:rPr>
          <w:rFonts w:ascii="Bookman Old Style" w:hAnsi="Bookman Old Style"/>
          <w:sz w:val="28"/>
          <w:szCs w:val="28"/>
          <w:lang w:val="el-GR"/>
        </w:rPr>
        <w:t xml:space="preserve">, </w:t>
      </w:r>
      <w:r>
        <w:rPr>
          <w:rFonts w:ascii="Bookman Old Style" w:hAnsi="Bookman Old Style"/>
          <w:sz w:val="28"/>
          <w:szCs w:val="28"/>
          <w:lang w:val="el-GR"/>
        </w:rPr>
        <w:t xml:space="preserve">λέχθηκε ότι </w:t>
      </w:r>
      <w:r w:rsidR="00E850AB">
        <w:rPr>
          <w:rFonts w:ascii="Bookman Old Style" w:hAnsi="Bookman Old Style"/>
          <w:sz w:val="28"/>
          <w:szCs w:val="28"/>
          <w:lang w:val="el-GR"/>
        </w:rPr>
        <w:t xml:space="preserve">με τις τροποποιήσεις του </w:t>
      </w:r>
      <w:r w:rsidR="00E850AB" w:rsidRPr="00DF027D">
        <w:rPr>
          <w:rFonts w:ascii="Bookman Old Style" w:hAnsi="Bookman Old Style"/>
          <w:b/>
          <w:bCs/>
          <w:i/>
          <w:iCs/>
          <w:sz w:val="28"/>
          <w:szCs w:val="28"/>
          <w:lang w:val="el-GR"/>
        </w:rPr>
        <w:t>Ν.23/90</w:t>
      </w:r>
      <w:r w:rsidR="00E850AB">
        <w:rPr>
          <w:rFonts w:ascii="Bookman Old Style" w:hAnsi="Bookman Old Style"/>
          <w:sz w:val="28"/>
          <w:szCs w:val="28"/>
          <w:lang w:val="el-GR"/>
        </w:rPr>
        <w:t xml:space="preserve">, </w:t>
      </w:r>
      <w:r>
        <w:rPr>
          <w:rFonts w:ascii="Bookman Old Style" w:hAnsi="Bookman Old Style"/>
          <w:sz w:val="28"/>
          <w:szCs w:val="28"/>
          <w:lang w:val="el-GR"/>
        </w:rPr>
        <w:t xml:space="preserve">πρόθεση του νομοθέτη ήταν να εντάξει όλες ανεξαιρέτως τις περιουσιακές διαφορές </w:t>
      </w:r>
      <w:r w:rsidR="00E850AB">
        <w:rPr>
          <w:rFonts w:ascii="Bookman Old Style" w:hAnsi="Bookman Old Style"/>
          <w:sz w:val="28"/>
          <w:szCs w:val="28"/>
          <w:lang w:val="el-GR"/>
        </w:rPr>
        <w:t xml:space="preserve">μεταξύ συζύγων σε σχέση με ιδιοκτησία η οποία αποκτήθηκε πριν από τον γάμο με την προοπτική του γάμου από οποιονδήποτε από τους συζύγους, σύμφωνα με τις διατάξεις του </w:t>
      </w:r>
      <w:r w:rsidR="00E850AB" w:rsidRPr="00DF027D">
        <w:rPr>
          <w:rFonts w:ascii="Bookman Old Style" w:hAnsi="Bookman Old Style"/>
          <w:b/>
          <w:bCs/>
          <w:i/>
          <w:iCs/>
          <w:sz w:val="28"/>
          <w:szCs w:val="28"/>
          <w:lang w:val="el-GR"/>
        </w:rPr>
        <w:t>Ν.232/91</w:t>
      </w:r>
      <w:r w:rsidR="00E850AB">
        <w:rPr>
          <w:rFonts w:ascii="Bookman Old Style" w:hAnsi="Bookman Old Style"/>
          <w:sz w:val="28"/>
          <w:szCs w:val="28"/>
          <w:lang w:val="el-GR"/>
        </w:rPr>
        <w:t>, στην αποκλειστική δικαιοδοσία του Οικογενειακού Δικαστηρίου, ανεξαρτήτως της βάσης της αγωγής. Επομένως, στην εν λόγω υπόθεση, παρόλο που η επίδικη διαφορά βασιζόταν σε εμπίστευμα μεταξύ συζύγων, σε</w:t>
      </w:r>
      <w:r w:rsidR="00B22265">
        <w:rPr>
          <w:rFonts w:ascii="Bookman Old Style" w:hAnsi="Bookman Old Style"/>
          <w:sz w:val="28"/>
          <w:szCs w:val="28"/>
          <w:lang w:val="el-GR"/>
        </w:rPr>
        <w:t xml:space="preserve"> σχέση με</w:t>
      </w:r>
      <w:r w:rsidR="00E850AB">
        <w:rPr>
          <w:rFonts w:ascii="Bookman Old Style" w:hAnsi="Bookman Old Style"/>
          <w:sz w:val="28"/>
          <w:szCs w:val="28"/>
          <w:lang w:val="el-GR"/>
        </w:rPr>
        <w:t xml:space="preserve"> ακίνητη ιδιοκτησία η οποία αποκτήθηκε μετά τη σύναψη του γάμου, εντούτοις ενέπιπτε εντός της δικαιοδοσίας του Οικογενειακού Δικαστηρίου. </w:t>
      </w:r>
    </w:p>
    <w:p w14:paraId="3053D6D4" w14:textId="606E9982" w:rsidR="00576EDD" w:rsidRDefault="00867D4F" w:rsidP="00E20C00">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ab/>
        <w:t xml:space="preserve">Οι ίδιες αρχές υιοθετήθηκαν στην υπόθεση </w:t>
      </w:r>
      <w:r w:rsidR="00DE327E" w:rsidRPr="00DE327E">
        <w:rPr>
          <w:rFonts w:ascii="Bookman Old Style" w:hAnsi="Bookman Old Style"/>
          <w:b/>
          <w:bCs/>
          <w:i/>
          <w:iCs/>
          <w:sz w:val="28"/>
          <w:szCs w:val="28"/>
          <w:lang w:val="el-GR"/>
        </w:rPr>
        <w:t xml:space="preserve">Κούρου </w:t>
      </w:r>
      <w:r w:rsidR="00DE327E" w:rsidRPr="00DE327E">
        <w:rPr>
          <w:rFonts w:ascii="Bookman Old Style" w:hAnsi="Bookman Old Style"/>
          <w:b/>
          <w:bCs/>
          <w:i/>
          <w:iCs/>
          <w:sz w:val="28"/>
          <w:szCs w:val="28"/>
        </w:rPr>
        <w:t>v</w:t>
      </w:r>
      <w:r w:rsidR="00DE327E" w:rsidRPr="00DE327E">
        <w:rPr>
          <w:rFonts w:ascii="Bookman Old Style" w:hAnsi="Bookman Old Style"/>
          <w:b/>
          <w:bCs/>
          <w:i/>
          <w:iCs/>
          <w:sz w:val="28"/>
          <w:szCs w:val="28"/>
          <w:lang w:val="el-GR"/>
        </w:rPr>
        <w:t>. Κόνου (2014) 1(Γ) Α.Α.Δ. 2192</w:t>
      </w:r>
      <w:r w:rsidR="00DE327E">
        <w:rPr>
          <w:rFonts w:ascii="Bookman Old Style" w:hAnsi="Bookman Old Style"/>
          <w:sz w:val="28"/>
          <w:szCs w:val="28"/>
          <w:lang w:val="el-GR"/>
        </w:rPr>
        <w:t>,</w:t>
      </w:r>
      <w:r w:rsidR="0045250C">
        <w:rPr>
          <w:rFonts w:ascii="Bookman Old Style" w:hAnsi="Bookman Old Style"/>
          <w:sz w:val="28"/>
          <w:szCs w:val="28"/>
          <w:lang w:val="el-GR"/>
        </w:rPr>
        <w:t xml:space="preserve"> στην οποία επαναλήφθηκε ότι ανεξαρτήτως του τρόπου διατύπωσης της θεραπείας ή των θεραπειών, αποκλειστική δικαιοδοσία για την εκδίκαση υπόθεσης οικογενειακής φύσης έχει το Οικογενειακό Δικαστήριο. Στην εν λόγω υπόθεση εγειρόταν ζήτημα εφαρμογής του δικαίου της επιείκειας, και το Ανώτατο Δικαστήριο προχώρησε και ανέφερε ότι το Οικογενειακό δεν περιορίζεται στην εφαρμογή του </w:t>
      </w:r>
      <w:r w:rsidR="0045250C" w:rsidRPr="0045250C">
        <w:rPr>
          <w:rFonts w:ascii="Bookman Old Style" w:hAnsi="Bookman Old Style"/>
          <w:b/>
          <w:bCs/>
          <w:i/>
          <w:iCs/>
          <w:sz w:val="28"/>
          <w:szCs w:val="28"/>
          <w:lang w:val="el-GR"/>
        </w:rPr>
        <w:t>Άρθρου 14</w:t>
      </w:r>
      <w:r w:rsidR="0045250C">
        <w:rPr>
          <w:rFonts w:ascii="Bookman Old Style" w:hAnsi="Bookman Old Style"/>
          <w:sz w:val="28"/>
          <w:szCs w:val="28"/>
          <w:lang w:val="el-GR"/>
        </w:rPr>
        <w:t xml:space="preserve"> του </w:t>
      </w:r>
      <w:r w:rsidR="0045250C" w:rsidRPr="0045250C">
        <w:rPr>
          <w:rFonts w:ascii="Bookman Old Style" w:hAnsi="Bookman Old Style"/>
          <w:b/>
          <w:bCs/>
          <w:i/>
          <w:iCs/>
          <w:sz w:val="28"/>
          <w:szCs w:val="28"/>
          <w:lang w:val="el-GR"/>
        </w:rPr>
        <w:t>Ν.232/91</w:t>
      </w:r>
      <w:r w:rsidR="0045250C">
        <w:rPr>
          <w:rFonts w:ascii="Bookman Old Style" w:hAnsi="Bookman Old Style"/>
          <w:sz w:val="28"/>
          <w:szCs w:val="28"/>
          <w:lang w:val="el-GR"/>
        </w:rPr>
        <w:t xml:space="preserve">, αλλά δύναται να εφαρμόσει και τις αρχές της επιείκειας. </w:t>
      </w:r>
    </w:p>
    <w:p w14:paraId="5053F557" w14:textId="330D2555" w:rsidR="00A85543" w:rsidRDefault="00A85543" w:rsidP="00E20C00">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Χρήσιμη καθοδήγηση επί του θέματος προσφέρει και η υπόθεση </w:t>
      </w:r>
      <w:r w:rsidR="000F6CDA" w:rsidRPr="000F6CDA">
        <w:rPr>
          <w:rFonts w:ascii="Bookman Old Style" w:hAnsi="Bookman Old Style"/>
          <w:b/>
          <w:bCs/>
          <w:i/>
          <w:iCs/>
          <w:sz w:val="28"/>
          <w:szCs w:val="28"/>
          <w:lang w:val="el-GR"/>
        </w:rPr>
        <w:t xml:space="preserve">Μιχαήλ </w:t>
      </w:r>
      <w:r w:rsidR="000F6CDA" w:rsidRPr="000F6CDA">
        <w:rPr>
          <w:rFonts w:ascii="Bookman Old Style" w:hAnsi="Bookman Old Style"/>
          <w:b/>
          <w:bCs/>
          <w:i/>
          <w:iCs/>
          <w:sz w:val="28"/>
          <w:szCs w:val="28"/>
        </w:rPr>
        <w:t>v</w:t>
      </w:r>
      <w:r w:rsidR="000F6CDA" w:rsidRPr="000F6CDA">
        <w:rPr>
          <w:rFonts w:ascii="Bookman Old Style" w:hAnsi="Bookman Old Style"/>
          <w:b/>
          <w:bCs/>
          <w:i/>
          <w:iCs/>
          <w:sz w:val="28"/>
          <w:szCs w:val="28"/>
          <w:lang w:val="el-GR"/>
        </w:rPr>
        <w:t>. Γιάγκου (2001) 1(Γ) Α.Α.Δ. 1643</w:t>
      </w:r>
      <w:r w:rsidR="000F6CDA">
        <w:rPr>
          <w:rFonts w:ascii="Bookman Old Style" w:hAnsi="Bookman Old Style"/>
          <w:sz w:val="28"/>
          <w:szCs w:val="28"/>
          <w:lang w:val="el-GR"/>
        </w:rPr>
        <w:t xml:space="preserve">. </w:t>
      </w:r>
    </w:p>
    <w:p w14:paraId="05AA58C0" w14:textId="729BD3C1" w:rsidR="00A92941" w:rsidRPr="00A92941" w:rsidRDefault="000F6CDA" w:rsidP="00E20C00">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Με βάση την ανωτέρω νομολογία, καθίσταται εμφανές ότι το γεγονός πως η υπό κρίση Αγωγή βασίζεται σε παράνομη επέμβαση δεν είναι το καθοριστικό κριτήριο για την απόδοση αρμοδιότητας εκδίκασης. Εκείνο το οποίο ενέχει σημασία είναι η φύση της επίδικης διαφοράς και κατά πόσο αυτή εμπίπτει εντός </w:t>
      </w:r>
      <w:r w:rsidR="00DF027D">
        <w:rPr>
          <w:rFonts w:ascii="Bookman Old Style" w:hAnsi="Bookman Old Style"/>
          <w:sz w:val="28"/>
          <w:szCs w:val="28"/>
          <w:lang w:val="el-GR"/>
        </w:rPr>
        <w:t xml:space="preserve">των προνοιών των </w:t>
      </w:r>
      <w:r w:rsidR="00DF027D" w:rsidRPr="00DF027D">
        <w:rPr>
          <w:rFonts w:ascii="Bookman Old Style" w:hAnsi="Bookman Old Style"/>
          <w:b/>
          <w:bCs/>
          <w:i/>
          <w:iCs/>
          <w:sz w:val="28"/>
          <w:szCs w:val="28"/>
          <w:lang w:val="el-GR"/>
        </w:rPr>
        <w:t>Ν.23/90</w:t>
      </w:r>
      <w:r w:rsidR="00DF027D">
        <w:rPr>
          <w:rFonts w:ascii="Bookman Old Style" w:hAnsi="Bookman Old Style"/>
          <w:sz w:val="28"/>
          <w:szCs w:val="28"/>
          <w:lang w:val="el-GR"/>
        </w:rPr>
        <w:t xml:space="preserve"> και </w:t>
      </w:r>
      <w:r w:rsidR="00DF027D" w:rsidRPr="00DF027D">
        <w:rPr>
          <w:rFonts w:ascii="Bookman Old Style" w:hAnsi="Bookman Old Style"/>
          <w:b/>
          <w:bCs/>
          <w:i/>
          <w:iCs/>
          <w:sz w:val="28"/>
          <w:szCs w:val="28"/>
          <w:lang w:val="el-GR"/>
        </w:rPr>
        <w:t>232/91</w:t>
      </w:r>
      <w:r w:rsidR="00DF027D">
        <w:rPr>
          <w:rFonts w:ascii="Bookman Old Style" w:hAnsi="Bookman Old Style"/>
          <w:sz w:val="28"/>
          <w:szCs w:val="28"/>
          <w:lang w:val="el-GR"/>
        </w:rPr>
        <w:t xml:space="preserve">. </w:t>
      </w:r>
      <w:r w:rsidR="00A92941">
        <w:rPr>
          <w:rFonts w:ascii="Bookman Old Style" w:hAnsi="Bookman Old Style"/>
          <w:sz w:val="28"/>
          <w:szCs w:val="28"/>
          <w:lang w:val="el-GR"/>
        </w:rPr>
        <w:t xml:space="preserve">Όπως αναφέρθηκε στην υπόθεση </w:t>
      </w:r>
      <w:r w:rsidR="00A92941" w:rsidRPr="00E04C81">
        <w:rPr>
          <w:rFonts w:ascii="Bookman Old Style" w:hAnsi="Bookman Old Style"/>
          <w:b/>
          <w:bCs/>
          <w:i/>
          <w:iCs/>
          <w:sz w:val="28"/>
          <w:szCs w:val="28"/>
          <w:lang w:val="el-GR"/>
        </w:rPr>
        <w:t xml:space="preserve">Κωνσταντίνου </w:t>
      </w:r>
      <w:r w:rsidR="00A92941" w:rsidRPr="00E04C81">
        <w:rPr>
          <w:rFonts w:ascii="Bookman Old Style" w:hAnsi="Bookman Old Style"/>
          <w:b/>
          <w:bCs/>
          <w:i/>
          <w:iCs/>
          <w:sz w:val="28"/>
          <w:szCs w:val="28"/>
          <w:lang w:val="en-GB"/>
        </w:rPr>
        <w:t>v</w:t>
      </w:r>
      <w:r w:rsidR="00A92941" w:rsidRPr="00E04C81">
        <w:rPr>
          <w:rFonts w:ascii="Bookman Old Style" w:hAnsi="Bookman Old Style"/>
          <w:b/>
          <w:bCs/>
          <w:i/>
          <w:iCs/>
          <w:sz w:val="28"/>
          <w:szCs w:val="28"/>
          <w:lang w:val="el-GR"/>
        </w:rPr>
        <w:t>. Κωνσταντίνου (2004) 1(Β) Α.Α.Δ. 1192</w:t>
      </w:r>
      <w:r w:rsidR="00A92941" w:rsidRPr="00A92941">
        <w:rPr>
          <w:rFonts w:ascii="Bookman Old Style" w:hAnsi="Bookman Old Style"/>
          <w:sz w:val="28"/>
          <w:szCs w:val="28"/>
          <w:lang w:val="el-GR"/>
        </w:rPr>
        <w:t>,</w:t>
      </w:r>
      <w:r w:rsidR="00A92941">
        <w:rPr>
          <w:rFonts w:ascii="Bookman Old Style" w:hAnsi="Bookman Old Style"/>
          <w:b/>
          <w:bCs/>
          <w:i/>
          <w:iCs/>
          <w:sz w:val="28"/>
          <w:szCs w:val="28"/>
          <w:lang w:val="el-GR"/>
        </w:rPr>
        <w:t xml:space="preserve"> </w:t>
      </w:r>
      <w:r w:rsidR="00A92941">
        <w:rPr>
          <w:rFonts w:ascii="Bookman Old Style" w:hAnsi="Bookman Old Style"/>
          <w:sz w:val="28"/>
          <w:szCs w:val="28"/>
          <w:lang w:val="el-GR"/>
        </w:rPr>
        <w:t>το υπόβαθρο για την εξέταση του θέματος της δικαιοδοσίας είναι η διαφορά όπως καθορίζεται στο δικόγραφο το οποίο προσδιορίζει το επίδικο θέμα και τα γεγονότα που στοιχειοθετούν τη δικαιοδοσία του δικαστηρίου είναι εκείνα που συνθέτουν την απαίτηση αποκλειστική πηγή αναζήτησης της οποίας είναι η έκθεση απαίτησης. Σε εκείνη την υπόθεση, το</w:t>
      </w:r>
      <w:r w:rsidR="00A92941" w:rsidRPr="00A92941">
        <w:rPr>
          <w:rFonts w:ascii="Bookman Old Style" w:hAnsi="Bookman Old Style"/>
          <w:sz w:val="28"/>
          <w:szCs w:val="28"/>
          <w:lang w:val="el-GR"/>
        </w:rPr>
        <w:t xml:space="preserve"> </w:t>
      </w:r>
      <w:r w:rsidR="00A92941">
        <w:rPr>
          <w:rFonts w:ascii="Bookman Old Style" w:hAnsi="Bookman Old Style"/>
          <w:sz w:val="28"/>
          <w:szCs w:val="28"/>
          <w:lang w:val="el-GR"/>
        </w:rPr>
        <w:t xml:space="preserve">Ανώτατο Δικαστήριο έλαβε υπόψη τις βάσεις αγωγής στην οπισθογράφηση της απαίτησης και το παραδεκτό γεγονός ότι η αγωγή καταχωρίστηκε μετά τη λύση του γάμου. </w:t>
      </w:r>
    </w:p>
    <w:p w14:paraId="3E6CAA3B" w14:textId="54FB0651" w:rsidR="000F6CDA" w:rsidRDefault="00DF027D" w:rsidP="00E20C00">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Κατά την εξέταση της αίτησης, το πρωτόδικο Δικαστήριο είχε ενώπιον του το γενικώς οπισθογραφημένο κλη</w:t>
      </w:r>
      <w:r w:rsidR="00671846">
        <w:rPr>
          <w:rFonts w:ascii="Bookman Old Style" w:hAnsi="Bookman Old Style"/>
          <w:sz w:val="28"/>
          <w:szCs w:val="28"/>
          <w:lang w:val="el-GR"/>
        </w:rPr>
        <w:t>τήριο</w:t>
      </w:r>
      <w:r w:rsidR="00DB2E90">
        <w:rPr>
          <w:rFonts w:ascii="Bookman Old Style" w:hAnsi="Bookman Old Style"/>
          <w:sz w:val="28"/>
          <w:szCs w:val="28"/>
          <w:lang w:val="el-GR"/>
        </w:rPr>
        <w:t xml:space="preserve"> και</w:t>
      </w:r>
      <w:r w:rsidR="00BF7814">
        <w:rPr>
          <w:rFonts w:ascii="Bookman Old Style" w:hAnsi="Bookman Old Style"/>
          <w:sz w:val="28"/>
          <w:szCs w:val="28"/>
          <w:lang w:val="el-GR"/>
        </w:rPr>
        <w:t xml:space="preserve"> </w:t>
      </w:r>
      <w:r>
        <w:rPr>
          <w:rFonts w:ascii="Bookman Old Style" w:hAnsi="Bookman Old Style"/>
          <w:sz w:val="28"/>
          <w:szCs w:val="28"/>
          <w:lang w:val="el-GR"/>
        </w:rPr>
        <w:t>την ένορκη δήλωση του Εφεσίβλητου που συνόδευε την αίτηση</w:t>
      </w:r>
      <w:r w:rsidR="00BF7814">
        <w:rPr>
          <w:rFonts w:ascii="Bookman Old Style" w:hAnsi="Bookman Old Style"/>
          <w:sz w:val="28"/>
          <w:szCs w:val="28"/>
          <w:lang w:val="el-GR"/>
        </w:rPr>
        <w:t xml:space="preserve">, </w:t>
      </w:r>
      <w:r>
        <w:rPr>
          <w:rFonts w:ascii="Bookman Old Style" w:hAnsi="Bookman Old Style"/>
          <w:sz w:val="28"/>
          <w:szCs w:val="28"/>
          <w:lang w:val="el-GR"/>
        </w:rPr>
        <w:t xml:space="preserve">το περιεχόμενο των οποίων ήταν αυτό που σε εκείνο το στάδιο θα καθόριζε την αρμοδιότητα ή όχι του Επαρχιακού Δικαστηρίου. Με βάση αυτά τα έγγραφα, </w:t>
      </w:r>
      <w:r w:rsidR="00EC732E">
        <w:rPr>
          <w:rFonts w:ascii="Bookman Old Style" w:hAnsi="Bookman Old Style"/>
          <w:sz w:val="28"/>
          <w:szCs w:val="28"/>
          <w:lang w:val="el-GR"/>
        </w:rPr>
        <w:t xml:space="preserve">διαφαίνεται ξεκάθαρα ότι ο ίδιος ο Εφεσίβλητος αναφέρεται σε συζυγική κατοικία η οποία αποκτήθηκε </w:t>
      </w:r>
      <w:r w:rsidR="00BF7814">
        <w:rPr>
          <w:rFonts w:ascii="Bookman Old Style" w:hAnsi="Bookman Old Style"/>
          <w:sz w:val="28"/>
          <w:szCs w:val="28"/>
          <w:lang w:val="el-GR"/>
        </w:rPr>
        <w:t xml:space="preserve">μετά την τέλεση του γάμου του με την Εφεσείουσα και </w:t>
      </w:r>
      <w:r w:rsidR="00A26F3B">
        <w:rPr>
          <w:rFonts w:ascii="Bookman Old Style" w:hAnsi="Bookman Old Style"/>
          <w:sz w:val="28"/>
          <w:szCs w:val="28"/>
          <w:lang w:val="el-GR"/>
        </w:rPr>
        <w:t>την οποία διεκδικεί</w:t>
      </w:r>
      <w:r w:rsidR="00A73D95">
        <w:rPr>
          <w:rFonts w:ascii="Bookman Old Style" w:hAnsi="Bookman Old Style"/>
          <w:sz w:val="28"/>
          <w:szCs w:val="28"/>
          <w:lang w:val="el-GR"/>
        </w:rPr>
        <w:t>,</w:t>
      </w:r>
      <w:r w:rsidR="00A26F3B">
        <w:rPr>
          <w:rFonts w:ascii="Bookman Old Style" w:hAnsi="Bookman Old Style"/>
          <w:sz w:val="28"/>
          <w:szCs w:val="28"/>
          <w:lang w:val="el-GR"/>
        </w:rPr>
        <w:t xml:space="preserve"> ισχυριζόμενος ότι η εν λόγω κατοικία αν</w:t>
      </w:r>
      <w:r w:rsidR="00906D04">
        <w:rPr>
          <w:rFonts w:ascii="Bookman Old Style" w:hAnsi="Bookman Old Style"/>
          <w:sz w:val="28"/>
          <w:szCs w:val="28"/>
          <w:lang w:val="el-GR"/>
        </w:rPr>
        <w:t>η</w:t>
      </w:r>
      <w:r w:rsidR="00A26F3B">
        <w:rPr>
          <w:rFonts w:ascii="Bookman Old Style" w:hAnsi="Bookman Old Style"/>
          <w:sz w:val="28"/>
          <w:szCs w:val="28"/>
          <w:lang w:val="el-GR"/>
        </w:rPr>
        <w:t xml:space="preserve">γέρθη με την αποκλειστική συνεισφορά του </w:t>
      </w:r>
      <w:r w:rsidR="000B72C7">
        <w:rPr>
          <w:rFonts w:ascii="Bookman Old Style" w:hAnsi="Bookman Old Style"/>
          <w:sz w:val="28"/>
          <w:szCs w:val="28"/>
          <w:lang w:val="el-GR"/>
        </w:rPr>
        <w:t xml:space="preserve">ιδίου </w:t>
      </w:r>
      <w:r w:rsidR="00A26F3B">
        <w:rPr>
          <w:rFonts w:ascii="Bookman Old Style" w:hAnsi="Bookman Old Style"/>
          <w:sz w:val="28"/>
          <w:szCs w:val="28"/>
          <w:lang w:val="el-GR"/>
        </w:rPr>
        <w:t xml:space="preserve">και ότι η </w:t>
      </w:r>
      <w:r w:rsidR="00D57997">
        <w:rPr>
          <w:rFonts w:ascii="Bookman Old Style" w:hAnsi="Bookman Old Style"/>
          <w:sz w:val="28"/>
          <w:szCs w:val="28"/>
          <w:lang w:val="el-GR"/>
        </w:rPr>
        <w:t>Ε</w:t>
      </w:r>
      <w:r w:rsidR="00A26F3B">
        <w:rPr>
          <w:rFonts w:ascii="Bookman Old Style" w:hAnsi="Bookman Old Style"/>
          <w:sz w:val="28"/>
          <w:szCs w:val="28"/>
          <w:lang w:val="el-GR"/>
        </w:rPr>
        <w:t>φεσείουσα ουδεμία συνεισφορά πρ</w:t>
      </w:r>
      <w:r w:rsidR="00D57997">
        <w:rPr>
          <w:rFonts w:ascii="Bookman Old Style" w:hAnsi="Bookman Old Style"/>
          <w:sz w:val="28"/>
          <w:szCs w:val="28"/>
          <w:lang w:val="el-GR"/>
        </w:rPr>
        <w:t>οσέ</w:t>
      </w:r>
      <w:r w:rsidR="00A26F3B">
        <w:rPr>
          <w:rFonts w:ascii="Bookman Old Style" w:hAnsi="Bookman Old Style"/>
          <w:sz w:val="28"/>
          <w:szCs w:val="28"/>
          <w:lang w:val="el-GR"/>
        </w:rPr>
        <w:t xml:space="preserve">φερε είτε στην αγορά του οικοπέδου είτε στην ανέγερση της κατοικίας. </w:t>
      </w:r>
      <w:r w:rsidR="00D64C41">
        <w:rPr>
          <w:rFonts w:ascii="Bookman Old Style" w:hAnsi="Bookman Old Style"/>
          <w:sz w:val="28"/>
          <w:szCs w:val="28"/>
          <w:lang w:val="el-GR"/>
        </w:rPr>
        <w:t xml:space="preserve">Σημειώνουμε πως </w:t>
      </w:r>
      <w:r w:rsidR="00C97C35">
        <w:rPr>
          <w:rFonts w:ascii="Bookman Old Style" w:hAnsi="Bookman Old Style"/>
          <w:sz w:val="28"/>
          <w:szCs w:val="28"/>
          <w:lang w:val="el-GR"/>
        </w:rPr>
        <w:t>η Εφεσείουσα ισχυρίζετ</w:t>
      </w:r>
      <w:r w:rsidR="00297BE6">
        <w:rPr>
          <w:rFonts w:ascii="Bookman Old Style" w:hAnsi="Bookman Old Style"/>
          <w:sz w:val="28"/>
          <w:szCs w:val="28"/>
          <w:lang w:val="el-GR"/>
        </w:rPr>
        <w:t xml:space="preserve">αι ότι το ακίνητο αποκτήθηκε κατά τη διάρκεια του γάμου τους και ότι σε αυτό είχαν κοινή συμμετοχή </w:t>
      </w:r>
      <w:r w:rsidR="00CD198B">
        <w:rPr>
          <w:rFonts w:ascii="Bookman Old Style" w:hAnsi="Bookman Old Style"/>
          <w:sz w:val="28"/>
          <w:szCs w:val="28"/>
          <w:lang w:val="el-GR"/>
        </w:rPr>
        <w:t xml:space="preserve">τόσο </w:t>
      </w:r>
      <w:r w:rsidR="00297BE6">
        <w:rPr>
          <w:rFonts w:ascii="Bookman Old Style" w:hAnsi="Bookman Old Style"/>
          <w:sz w:val="28"/>
          <w:szCs w:val="28"/>
          <w:lang w:val="el-GR"/>
        </w:rPr>
        <w:t xml:space="preserve">στα χρήματα με τα οποία αποκτήθηκε </w:t>
      </w:r>
      <w:r w:rsidR="00CD198B">
        <w:rPr>
          <w:rFonts w:ascii="Bookman Old Style" w:hAnsi="Bookman Old Style"/>
          <w:sz w:val="28"/>
          <w:szCs w:val="28"/>
          <w:lang w:val="el-GR"/>
        </w:rPr>
        <w:t xml:space="preserve">όσο </w:t>
      </w:r>
      <w:r w:rsidR="00297BE6">
        <w:rPr>
          <w:rFonts w:ascii="Bookman Old Style" w:hAnsi="Bookman Old Style"/>
          <w:sz w:val="28"/>
          <w:szCs w:val="28"/>
          <w:lang w:val="el-GR"/>
        </w:rPr>
        <w:t xml:space="preserve">και στις εργασίες που έγιναν για την ανέγερση της κατοικίας. </w:t>
      </w:r>
    </w:p>
    <w:p w14:paraId="704451E8" w14:textId="6AC4319E" w:rsidR="00297BE6" w:rsidRDefault="00297BE6" w:rsidP="008603A3">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Υπό το φως των πιο πάνω δεδομένων, θεωρούμε ότι το πρωτόδικο Δικαστήριο έσφαλε ως προς τη διαπίστωση του πως η επίδικη διαφορά αφορούσε παράνομη επέμβαση, χωρίς να εξετάσει </w:t>
      </w:r>
      <w:r w:rsidR="00D57997">
        <w:rPr>
          <w:rFonts w:ascii="Bookman Old Style" w:hAnsi="Bookman Old Style"/>
          <w:sz w:val="28"/>
          <w:szCs w:val="28"/>
          <w:lang w:val="el-GR"/>
        </w:rPr>
        <w:t xml:space="preserve">την ίδια τη φύση της απαίτησης του Εφεσίβλητου </w:t>
      </w:r>
      <w:r w:rsidR="005D2AFC">
        <w:rPr>
          <w:rFonts w:ascii="Bookman Old Style" w:hAnsi="Bookman Old Style"/>
          <w:sz w:val="28"/>
          <w:szCs w:val="28"/>
          <w:lang w:val="el-GR"/>
        </w:rPr>
        <w:t xml:space="preserve">η οποία καταδείκνυε </w:t>
      </w:r>
      <w:r>
        <w:rPr>
          <w:rFonts w:ascii="Bookman Old Style" w:hAnsi="Bookman Old Style"/>
          <w:sz w:val="28"/>
          <w:szCs w:val="28"/>
          <w:lang w:val="el-GR"/>
        </w:rPr>
        <w:t xml:space="preserve">ότι ουσιαστικά αυτή επρόκειτο για περιουσιακή διαφορά μεταξύ συζύγων. </w:t>
      </w:r>
    </w:p>
    <w:p w14:paraId="0DCAB456" w14:textId="3D2E4351" w:rsidR="00CD0986" w:rsidRDefault="00297BE6" w:rsidP="008944E7">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Οι </w:t>
      </w:r>
      <w:r w:rsidR="00216936">
        <w:rPr>
          <w:rFonts w:ascii="Bookman Old Style" w:hAnsi="Bookman Old Style"/>
          <w:sz w:val="28"/>
          <w:szCs w:val="28"/>
          <w:lang w:val="el-GR"/>
        </w:rPr>
        <w:t xml:space="preserve">δύο </w:t>
      </w:r>
      <w:r>
        <w:rPr>
          <w:rFonts w:ascii="Bookman Old Style" w:hAnsi="Bookman Old Style"/>
          <w:sz w:val="28"/>
          <w:szCs w:val="28"/>
          <w:lang w:val="el-GR"/>
        </w:rPr>
        <w:t xml:space="preserve">υποθέσεις στις οποίες το πρωτόδικο Δικαστήριο παρέπεμψε δεν υποστηρίζουν την ως άνω διαπίστωση του περί ύπαρξης αρμοδιότητας του Επαρχιακού Δικαστηρίου να εκδικάσει την επίδικη διαφορά. Η πρώτη είναι η υπόθεση </w:t>
      </w:r>
      <w:r w:rsidR="00CD0986" w:rsidRPr="00E04C81">
        <w:rPr>
          <w:rFonts w:ascii="Bookman Old Style" w:hAnsi="Bookman Old Style"/>
          <w:b/>
          <w:bCs/>
          <w:i/>
          <w:iCs/>
          <w:sz w:val="28"/>
          <w:szCs w:val="28"/>
          <w:lang w:val="el-GR"/>
        </w:rPr>
        <w:t>Κωνσταντίνου (</w:t>
      </w:r>
      <w:r w:rsidR="005A4CE1">
        <w:rPr>
          <w:rFonts w:ascii="Bookman Old Style" w:hAnsi="Bookman Old Style"/>
          <w:b/>
          <w:bCs/>
          <w:i/>
          <w:iCs/>
          <w:sz w:val="28"/>
          <w:szCs w:val="28"/>
          <w:lang w:val="el-GR"/>
        </w:rPr>
        <w:t>ανωτέρω)</w:t>
      </w:r>
      <w:r w:rsidR="00CD0986">
        <w:rPr>
          <w:rFonts w:ascii="Bookman Old Style" w:hAnsi="Bookman Old Style"/>
          <w:sz w:val="28"/>
          <w:szCs w:val="28"/>
          <w:lang w:val="el-GR"/>
        </w:rPr>
        <w:t xml:space="preserve">, η οποία αφορούσε οχληρία και παράνομη επέμβαση και κρίθηκε ότι οι αξιώσεις δεν ήταν θέμα περιουσιακών σχέσεων των συζύγων ή οποιαδήποτε άλλη γαμική η οικογενειακή διαφορά εντός του </w:t>
      </w:r>
      <w:r w:rsidR="00CD0986" w:rsidRPr="00E04C81">
        <w:rPr>
          <w:rFonts w:ascii="Bookman Old Style" w:hAnsi="Bookman Old Style"/>
          <w:b/>
          <w:bCs/>
          <w:i/>
          <w:iCs/>
          <w:sz w:val="28"/>
          <w:szCs w:val="28"/>
          <w:lang w:val="el-GR"/>
        </w:rPr>
        <w:t xml:space="preserve">άρθρου 11(2)(ε) </w:t>
      </w:r>
      <w:r w:rsidR="00CD0986" w:rsidRPr="000B72C7">
        <w:rPr>
          <w:rFonts w:ascii="Bookman Old Style" w:hAnsi="Bookman Old Style"/>
          <w:sz w:val="28"/>
          <w:szCs w:val="28"/>
          <w:lang w:val="el-GR"/>
        </w:rPr>
        <w:t>του</w:t>
      </w:r>
      <w:r w:rsidR="00ED5693" w:rsidRPr="000B72C7">
        <w:rPr>
          <w:rFonts w:ascii="Bookman Old Style" w:hAnsi="Bookman Old Style"/>
          <w:sz w:val="28"/>
          <w:szCs w:val="28"/>
          <w:lang w:val="el-GR"/>
        </w:rPr>
        <w:t xml:space="preserve"> </w:t>
      </w:r>
      <w:r w:rsidR="00CD0986" w:rsidRPr="00E04C81">
        <w:rPr>
          <w:rFonts w:ascii="Bookman Old Style" w:hAnsi="Bookman Old Style"/>
          <w:b/>
          <w:bCs/>
          <w:i/>
          <w:iCs/>
          <w:sz w:val="28"/>
          <w:szCs w:val="28"/>
          <w:lang w:val="el-GR"/>
        </w:rPr>
        <w:t>Ν.23/90</w:t>
      </w:r>
      <w:r w:rsidR="00ED5693">
        <w:rPr>
          <w:rFonts w:ascii="Bookman Old Style" w:hAnsi="Bookman Old Style"/>
          <w:sz w:val="28"/>
          <w:szCs w:val="28"/>
          <w:lang w:val="el-GR"/>
        </w:rPr>
        <w:t xml:space="preserve">, </w:t>
      </w:r>
      <w:r w:rsidR="00216936">
        <w:rPr>
          <w:rFonts w:ascii="Bookman Old Style" w:hAnsi="Bookman Old Style"/>
          <w:sz w:val="28"/>
          <w:szCs w:val="28"/>
          <w:lang w:val="el-GR"/>
        </w:rPr>
        <w:t xml:space="preserve">αλλά </w:t>
      </w:r>
      <w:r w:rsidR="00ED5693">
        <w:rPr>
          <w:rFonts w:ascii="Bookman Old Style" w:hAnsi="Bookman Old Style"/>
          <w:sz w:val="28"/>
          <w:szCs w:val="28"/>
          <w:lang w:val="el-GR"/>
        </w:rPr>
        <w:t>παραχώρηση της χρήσης οικογενειακής κατοικίας μετά τη λύση του γάμου</w:t>
      </w:r>
      <w:r w:rsidR="00FD3850">
        <w:rPr>
          <w:rFonts w:ascii="Bookman Old Style" w:hAnsi="Bookman Old Style"/>
          <w:sz w:val="28"/>
          <w:szCs w:val="28"/>
          <w:lang w:val="el-GR"/>
        </w:rPr>
        <w:t>, κάτι το οποίο δεν ισχύει στην προκειμένη περίπτωση</w:t>
      </w:r>
      <w:r w:rsidR="00ED5693">
        <w:rPr>
          <w:rFonts w:ascii="Bookman Old Style" w:hAnsi="Bookman Old Style"/>
          <w:sz w:val="28"/>
          <w:szCs w:val="28"/>
          <w:lang w:val="el-GR"/>
        </w:rPr>
        <w:t xml:space="preserve">. </w:t>
      </w:r>
    </w:p>
    <w:p w14:paraId="3475067C" w14:textId="6830AFF1" w:rsidR="00CD0986" w:rsidRDefault="00CD0986" w:rsidP="00E20C00">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Στη δεύτερη υπόθεση </w:t>
      </w:r>
      <w:r w:rsidRPr="00C02240">
        <w:rPr>
          <w:rFonts w:ascii="Bookman Old Style" w:hAnsi="Bookman Old Style"/>
          <w:b/>
          <w:bCs/>
          <w:i/>
          <w:iCs/>
          <w:sz w:val="28"/>
          <w:szCs w:val="28"/>
          <w:lang w:val="el-GR"/>
        </w:rPr>
        <w:t xml:space="preserve">Κοζάκη </w:t>
      </w:r>
      <w:r w:rsidRPr="00C02240">
        <w:rPr>
          <w:rFonts w:ascii="Bookman Old Style" w:hAnsi="Bookman Old Style"/>
          <w:b/>
          <w:bCs/>
          <w:i/>
          <w:iCs/>
          <w:sz w:val="28"/>
          <w:szCs w:val="28"/>
          <w:lang w:val="en-GB"/>
        </w:rPr>
        <w:t>v</w:t>
      </w:r>
      <w:r w:rsidRPr="00C02240">
        <w:rPr>
          <w:rFonts w:ascii="Bookman Old Style" w:hAnsi="Bookman Old Style"/>
          <w:b/>
          <w:bCs/>
          <w:i/>
          <w:iCs/>
          <w:sz w:val="28"/>
          <w:szCs w:val="28"/>
          <w:lang w:val="el-GR"/>
        </w:rPr>
        <w:t>. Κοζάκη (2003) 1(Β) Α.Α.Δ. 1047</w:t>
      </w:r>
      <w:r>
        <w:rPr>
          <w:rFonts w:ascii="Bookman Old Style" w:hAnsi="Bookman Old Style"/>
          <w:sz w:val="28"/>
          <w:szCs w:val="28"/>
          <w:lang w:val="el-GR"/>
        </w:rPr>
        <w:t xml:space="preserve">, η περιουσιακή διαφορά η όποια ενέπιπτε στη δικαιοδοσία του Οικογενειακού Δικαστηρίου </w:t>
      </w:r>
      <w:r w:rsidR="00826526">
        <w:rPr>
          <w:rFonts w:ascii="Bookman Old Style" w:hAnsi="Bookman Old Style"/>
          <w:sz w:val="28"/>
          <w:szCs w:val="28"/>
          <w:lang w:val="el-GR"/>
        </w:rPr>
        <w:t>υποκαταστάθηκε</w:t>
      </w:r>
      <w:r>
        <w:rPr>
          <w:rFonts w:ascii="Bookman Old Style" w:hAnsi="Bookman Old Style"/>
          <w:sz w:val="28"/>
          <w:szCs w:val="28"/>
          <w:lang w:val="el-GR"/>
        </w:rPr>
        <w:t xml:space="preserve"> από σύμβαση</w:t>
      </w:r>
      <w:r w:rsidR="00DF6A68">
        <w:rPr>
          <w:rFonts w:ascii="Bookman Old Style" w:hAnsi="Bookman Old Style"/>
          <w:sz w:val="28"/>
          <w:szCs w:val="28"/>
          <w:lang w:val="el-GR"/>
        </w:rPr>
        <w:t>,</w:t>
      </w:r>
      <w:r>
        <w:rPr>
          <w:rFonts w:ascii="Bookman Old Style" w:hAnsi="Bookman Old Style"/>
          <w:sz w:val="28"/>
          <w:szCs w:val="28"/>
          <w:lang w:val="el-GR"/>
        </w:rPr>
        <w:t xml:space="preserve"> </w:t>
      </w:r>
      <w:r w:rsidR="00DF6A68">
        <w:rPr>
          <w:rFonts w:ascii="Bookman Old Style" w:hAnsi="Bookman Old Style"/>
          <w:sz w:val="28"/>
          <w:szCs w:val="28"/>
          <w:lang w:val="el-GR"/>
        </w:rPr>
        <w:t xml:space="preserve">εξού και κρίθηκε ότι </w:t>
      </w:r>
      <w:r>
        <w:rPr>
          <w:rFonts w:ascii="Bookman Old Style" w:hAnsi="Bookman Old Style"/>
          <w:sz w:val="28"/>
          <w:szCs w:val="28"/>
          <w:lang w:val="el-GR"/>
        </w:rPr>
        <w:t xml:space="preserve">η ερμηνεία και εφαρμογή της ανήκει πλέον αποκλειστικά στο Επαρχιακό Δικαστήριο. </w:t>
      </w:r>
      <w:r w:rsidR="00DF6A68">
        <w:rPr>
          <w:rFonts w:ascii="Bookman Old Style" w:hAnsi="Bookman Old Style"/>
          <w:sz w:val="28"/>
          <w:szCs w:val="28"/>
          <w:lang w:val="el-GR"/>
        </w:rPr>
        <w:t xml:space="preserve">Στην υπό κρίση περίπτωση η απαίτηση του Εφεσίβλητου δεν στηρίζεται σε οποιαδήποτε συμφωνία ως προς την ιδιοκτησία και χρήση της κατοικίας μεταξύ των διαδίκων. </w:t>
      </w:r>
    </w:p>
    <w:p w14:paraId="36956D5C" w14:textId="2EDA93FB" w:rsidR="00DF6A68" w:rsidRDefault="00DF6A68" w:rsidP="00E20C00">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Με βάση όσα αναφέρονται ανωτέρω, καταλήγουμε ότι η διαπίστωση του πρωτόδικου Δικαστηρίου πως η επίδικη διαφορά ενέπιπτε εντός της αρμοδιότητας του Επαρχιακού Δικαστηρίου ήταν εσφαλμένη. Το Επαρχιακό Δικαστήριο στερείτο τέτοιας αρμοδιότητας και επομένως η αίτηση υπόκειτο δίχως άλλο σε απόρριψη. </w:t>
      </w:r>
    </w:p>
    <w:p w14:paraId="25092448" w14:textId="126BDF73" w:rsidR="00DF6A68" w:rsidRDefault="00DF6A68" w:rsidP="00E20C00">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επιτυχία των δύο πρώτων λόγων </w:t>
      </w:r>
      <w:r w:rsidR="00E50392">
        <w:rPr>
          <w:rFonts w:ascii="Bookman Old Style" w:hAnsi="Bookman Old Style"/>
          <w:sz w:val="28"/>
          <w:szCs w:val="28"/>
          <w:lang w:val="el-GR"/>
        </w:rPr>
        <w:t>έ</w:t>
      </w:r>
      <w:r>
        <w:rPr>
          <w:rFonts w:ascii="Bookman Old Style" w:hAnsi="Bookman Old Style"/>
          <w:sz w:val="28"/>
          <w:szCs w:val="28"/>
          <w:lang w:val="el-GR"/>
        </w:rPr>
        <w:t xml:space="preserve">φεσης καθορίζει και το αποτέλεσμα της Έφεσης χωρίς να καθίσταται αναγκαία η εξέταση των υπόλοιπων λόγων. </w:t>
      </w:r>
    </w:p>
    <w:p w14:paraId="5D8A1AF5" w14:textId="4F67FB65" w:rsidR="00CE19FF" w:rsidRDefault="00DF6A68" w:rsidP="00270433">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Έφεση επιτυγχάνει. Η πρωτόδικη απόφαση παραμερίζεται. </w:t>
      </w:r>
      <w:r w:rsidR="007D6AEB">
        <w:rPr>
          <w:rFonts w:ascii="Bookman Old Style" w:hAnsi="Bookman Old Style"/>
          <w:sz w:val="28"/>
          <w:szCs w:val="28"/>
          <w:lang w:val="el-GR"/>
        </w:rPr>
        <w:t>Τα έξοδα της πρωτόδικης διαδικασίας επιδικάζονται υπέρ της Εφεσείουσας και εναντίον του Εφεσίβλητου όπως υπολογιστούν από τον αρμόδιο</w:t>
      </w:r>
      <w:r w:rsidR="003D5DF2">
        <w:rPr>
          <w:rFonts w:ascii="Bookman Old Style" w:hAnsi="Bookman Old Style"/>
          <w:sz w:val="28"/>
          <w:szCs w:val="28"/>
          <w:lang w:val="el-GR"/>
        </w:rPr>
        <w:t xml:space="preserve"> </w:t>
      </w:r>
      <w:r w:rsidR="007D6AEB">
        <w:rPr>
          <w:rFonts w:ascii="Bookman Old Style" w:hAnsi="Bookman Old Style"/>
          <w:sz w:val="28"/>
          <w:szCs w:val="28"/>
          <w:lang w:val="el-GR"/>
        </w:rPr>
        <w:t xml:space="preserve">Πρωτοκολλητή και εγκριθούν από το αρμόδιο Δικαστήριο. </w:t>
      </w:r>
    </w:p>
    <w:p w14:paraId="352D416B" w14:textId="3138726A" w:rsidR="00DF6A68" w:rsidRDefault="006B629E" w:rsidP="003D5DF2">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Επιδικάζονται </w:t>
      </w:r>
      <w:r w:rsidRPr="003D5DF2">
        <w:rPr>
          <w:rFonts w:ascii="Bookman Old Style" w:hAnsi="Bookman Old Style"/>
          <w:sz w:val="28"/>
          <w:szCs w:val="28"/>
          <w:lang w:val="el-GR"/>
        </w:rPr>
        <w:t>€</w:t>
      </w:r>
      <w:r w:rsidR="003D5DF2">
        <w:rPr>
          <w:rFonts w:ascii="Bookman Old Style" w:hAnsi="Bookman Old Style"/>
          <w:sz w:val="28"/>
          <w:szCs w:val="28"/>
          <w:lang w:val="el-GR"/>
        </w:rPr>
        <w:t>1.800</w:t>
      </w:r>
      <w:r w:rsidR="00F457EE">
        <w:rPr>
          <w:rFonts w:ascii="Bookman Old Style" w:hAnsi="Bookman Old Style"/>
          <w:sz w:val="28"/>
          <w:szCs w:val="28"/>
          <w:lang w:val="el-GR"/>
        </w:rPr>
        <w:t xml:space="preserve"> </w:t>
      </w:r>
      <w:r>
        <w:rPr>
          <w:rFonts w:ascii="Bookman Old Style" w:hAnsi="Bookman Old Style"/>
          <w:sz w:val="28"/>
          <w:szCs w:val="28"/>
          <w:lang w:val="el-GR"/>
        </w:rPr>
        <w:t xml:space="preserve">έξοδα Έφεσης υπέρ της Εφεσείουσας και εναντίον του Εφεσίβλητου. </w:t>
      </w:r>
    </w:p>
    <w:p w14:paraId="04A9FE0A" w14:textId="77777777" w:rsidR="003D5DF2" w:rsidRDefault="003D5DF2" w:rsidP="00FE4B17">
      <w:pPr>
        <w:spacing w:after="0" w:line="240" w:lineRule="auto"/>
        <w:ind w:left="5040" w:firstLine="720"/>
        <w:jc w:val="both"/>
        <w:rPr>
          <w:rFonts w:ascii="Bookman Old Style" w:hAnsi="Bookman Old Style"/>
          <w:sz w:val="28"/>
          <w:szCs w:val="28"/>
          <w:lang w:val="el-GR"/>
        </w:rPr>
      </w:pPr>
    </w:p>
    <w:p w14:paraId="368D9B8F" w14:textId="77777777" w:rsidR="003D5DF2" w:rsidRDefault="003D5DF2" w:rsidP="00FE4B17">
      <w:pPr>
        <w:spacing w:after="0" w:line="240" w:lineRule="auto"/>
        <w:ind w:left="5040" w:firstLine="720"/>
        <w:jc w:val="both"/>
        <w:rPr>
          <w:rFonts w:ascii="Bookman Old Style" w:hAnsi="Bookman Old Style"/>
          <w:sz w:val="28"/>
          <w:szCs w:val="28"/>
          <w:lang w:val="el-GR"/>
        </w:rPr>
      </w:pPr>
    </w:p>
    <w:p w14:paraId="48AB06C3" w14:textId="77777777" w:rsidR="003D5DF2" w:rsidRDefault="003D5DF2" w:rsidP="0076717A">
      <w:pPr>
        <w:spacing w:after="0" w:line="240" w:lineRule="auto"/>
        <w:jc w:val="both"/>
        <w:rPr>
          <w:rFonts w:ascii="Bookman Old Style" w:hAnsi="Bookman Old Style"/>
          <w:sz w:val="28"/>
          <w:szCs w:val="28"/>
          <w:lang w:val="el-GR"/>
        </w:rPr>
      </w:pPr>
    </w:p>
    <w:p w14:paraId="041BE186" w14:textId="77777777" w:rsidR="003D5DF2" w:rsidRDefault="003D5DF2" w:rsidP="00FE4B17">
      <w:pPr>
        <w:spacing w:after="0" w:line="240" w:lineRule="auto"/>
        <w:ind w:left="5040" w:firstLine="720"/>
        <w:jc w:val="both"/>
        <w:rPr>
          <w:rFonts w:ascii="Bookman Old Style" w:hAnsi="Bookman Old Style"/>
          <w:sz w:val="28"/>
          <w:szCs w:val="28"/>
          <w:lang w:val="el-GR"/>
        </w:rPr>
      </w:pPr>
    </w:p>
    <w:p w14:paraId="22360124" w14:textId="642F42A0" w:rsidR="00E20C00" w:rsidRDefault="00E20C00" w:rsidP="00FE4B17">
      <w:pPr>
        <w:spacing w:after="0" w:line="240" w:lineRule="auto"/>
        <w:ind w:left="5040" w:firstLine="720"/>
        <w:jc w:val="both"/>
        <w:rPr>
          <w:rFonts w:ascii="Bookman Old Style" w:hAnsi="Bookman Old Style"/>
          <w:sz w:val="28"/>
          <w:szCs w:val="28"/>
          <w:lang w:val="el-GR"/>
        </w:rPr>
      </w:pPr>
      <w:r w:rsidRPr="00A83BF6">
        <w:rPr>
          <w:rFonts w:ascii="Bookman Old Style" w:hAnsi="Bookman Old Style"/>
          <w:sz w:val="28"/>
          <w:szCs w:val="28"/>
          <w:lang w:val="el-GR"/>
        </w:rPr>
        <w:t>Χ. ΜΑΛΑΧΤΟΣ, Δ.</w:t>
      </w:r>
    </w:p>
    <w:p w14:paraId="2C30CF22" w14:textId="77777777" w:rsidR="0076717A" w:rsidRPr="00A83BF6" w:rsidRDefault="0076717A" w:rsidP="00FE4B17">
      <w:pPr>
        <w:spacing w:after="0" w:line="240" w:lineRule="auto"/>
        <w:ind w:left="5040" w:firstLine="720"/>
        <w:jc w:val="both"/>
        <w:rPr>
          <w:rFonts w:ascii="Bookman Old Style" w:hAnsi="Bookman Old Style"/>
          <w:sz w:val="28"/>
          <w:szCs w:val="28"/>
          <w:lang w:val="el-GR"/>
        </w:rPr>
      </w:pPr>
    </w:p>
    <w:p w14:paraId="66893161" w14:textId="4A5A960E" w:rsidR="004B303D" w:rsidRDefault="004B303D" w:rsidP="00FE4B17">
      <w:pPr>
        <w:spacing w:after="0" w:line="240" w:lineRule="auto"/>
        <w:jc w:val="both"/>
        <w:rPr>
          <w:rFonts w:ascii="Bookman Old Style" w:hAnsi="Bookman Old Style"/>
          <w:sz w:val="28"/>
          <w:szCs w:val="28"/>
          <w:lang w:val="el-GR"/>
        </w:rPr>
      </w:pPr>
    </w:p>
    <w:p w14:paraId="5DB8BF66" w14:textId="77777777" w:rsidR="006876A6" w:rsidRDefault="006876A6" w:rsidP="0076717A">
      <w:pPr>
        <w:spacing w:after="0" w:line="240" w:lineRule="auto"/>
        <w:ind w:left="5040" w:firstLine="720"/>
        <w:jc w:val="both"/>
        <w:rPr>
          <w:rFonts w:ascii="Bookman Old Style" w:hAnsi="Bookman Old Style"/>
          <w:sz w:val="28"/>
          <w:szCs w:val="28"/>
          <w:lang w:val="el-GR"/>
        </w:rPr>
      </w:pPr>
    </w:p>
    <w:p w14:paraId="15B649B3" w14:textId="02BB1246" w:rsidR="00E20C00" w:rsidRDefault="00E20C00" w:rsidP="0076717A">
      <w:pPr>
        <w:spacing w:after="0" w:line="240" w:lineRule="auto"/>
        <w:ind w:left="5040" w:firstLine="720"/>
        <w:jc w:val="both"/>
        <w:rPr>
          <w:rFonts w:ascii="Bookman Old Style" w:hAnsi="Bookman Old Style"/>
          <w:sz w:val="28"/>
          <w:szCs w:val="28"/>
          <w:lang w:val="el-GR"/>
        </w:rPr>
      </w:pPr>
      <w:r w:rsidRPr="00A83BF6">
        <w:rPr>
          <w:rFonts w:ascii="Bookman Old Style" w:hAnsi="Bookman Old Style"/>
          <w:sz w:val="28"/>
          <w:szCs w:val="28"/>
          <w:lang w:val="el-GR"/>
        </w:rPr>
        <w:t>Ι. ΙΩΑΝΝΙΔΗΣ, Δ.</w:t>
      </w:r>
    </w:p>
    <w:p w14:paraId="447453F3" w14:textId="77777777" w:rsidR="0076717A" w:rsidRDefault="0076717A" w:rsidP="0076717A">
      <w:pPr>
        <w:spacing w:after="0" w:line="240" w:lineRule="auto"/>
        <w:ind w:left="5040" w:firstLine="720"/>
        <w:jc w:val="both"/>
        <w:rPr>
          <w:rFonts w:ascii="Bookman Old Style" w:hAnsi="Bookman Old Style"/>
          <w:sz w:val="28"/>
          <w:szCs w:val="28"/>
          <w:lang w:val="el-GR"/>
        </w:rPr>
      </w:pPr>
    </w:p>
    <w:p w14:paraId="670EF3CB" w14:textId="77777777" w:rsidR="0076717A" w:rsidRPr="00A83BF6" w:rsidRDefault="0076717A" w:rsidP="004B303D">
      <w:pPr>
        <w:spacing w:after="0" w:line="240" w:lineRule="auto"/>
        <w:jc w:val="both"/>
        <w:rPr>
          <w:rFonts w:ascii="Bookman Old Style" w:hAnsi="Bookman Old Style"/>
          <w:sz w:val="28"/>
          <w:szCs w:val="28"/>
          <w:lang w:val="el-GR"/>
        </w:rPr>
      </w:pPr>
    </w:p>
    <w:p w14:paraId="0D362099" w14:textId="51515DD3" w:rsidR="00E20C00" w:rsidRPr="00A83BF6" w:rsidRDefault="00E20C00" w:rsidP="00FE4B17">
      <w:pPr>
        <w:spacing w:after="0" w:line="240" w:lineRule="auto"/>
        <w:jc w:val="both"/>
        <w:rPr>
          <w:rFonts w:ascii="Bookman Old Style" w:hAnsi="Bookman Old Style"/>
          <w:sz w:val="28"/>
          <w:szCs w:val="28"/>
          <w:lang w:val="el-GR"/>
        </w:rPr>
      </w:pPr>
    </w:p>
    <w:p w14:paraId="1E408EDF" w14:textId="335B6698" w:rsidR="004F1C86" w:rsidRDefault="00E20C00" w:rsidP="00FE4B17">
      <w:pPr>
        <w:spacing w:after="0" w:line="240" w:lineRule="auto"/>
        <w:jc w:val="both"/>
        <w:rPr>
          <w:rFonts w:ascii="Bookman Old Style" w:hAnsi="Bookman Old Style"/>
          <w:sz w:val="28"/>
          <w:szCs w:val="28"/>
          <w:lang w:val="el-GR"/>
        </w:rPr>
      </w:pPr>
      <w:r w:rsidRPr="00A83BF6">
        <w:rPr>
          <w:rFonts w:ascii="Bookman Old Style" w:hAnsi="Bookman Old Style"/>
          <w:sz w:val="28"/>
          <w:szCs w:val="28"/>
          <w:lang w:val="el-GR"/>
        </w:rPr>
        <w:tab/>
      </w:r>
      <w:r w:rsidRPr="00A83BF6">
        <w:rPr>
          <w:rFonts w:ascii="Bookman Old Style" w:hAnsi="Bookman Old Style"/>
          <w:sz w:val="28"/>
          <w:szCs w:val="28"/>
          <w:lang w:val="el-GR"/>
        </w:rPr>
        <w:tab/>
      </w:r>
      <w:r w:rsidRPr="00A83BF6">
        <w:rPr>
          <w:rFonts w:ascii="Bookman Old Style" w:hAnsi="Bookman Old Style"/>
          <w:sz w:val="28"/>
          <w:szCs w:val="28"/>
          <w:lang w:val="el-GR"/>
        </w:rPr>
        <w:tab/>
      </w:r>
      <w:r w:rsidRPr="00A83BF6">
        <w:rPr>
          <w:rFonts w:ascii="Bookman Old Style" w:hAnsi="Bookman Old Style"/>
          <w:sz w:val="28"/>
          <w:szCs w:val="28"/>
          <w:lang w:val="el-GR"/>
        </w:rPr>
        <w:tab/>
      </w:r>
      <w:r w:rsidRPr="00A83BF6">
        <w:rPr>
          <w:rFonts w:ascii="Bookman Old Style" w:hAnsi="Bookman Old Style"/>
          <w:sz w:val="28"/>
          <w:szCs w:val="28"/>
          <w:lang w:val="el-GR"/>
        </w:rPr>
        <w:tab/>
      </w:r>
      <w:r w:rsidRPr="00A83BF6">
        <w:rPr>
          <w:rFonts w:ascii="Bookman Old Style" w:hAnsi="Bookman Old Style"/>
          <w:sz w:val="28"/>
          <w:szCs w:val="28"/>
          <w:lang w:val="el-GR"/>
        </w:rPr>
        <w:tab/>
      </w:r>
      <w:r w:rsidRPr="00A83BF6">
        <w:rPr>
          <w:rFonts w:ascii="Bookman Old Style" w:hAnsi="Bookman Old Style"/>
          <w:sz w:val="28"/>
          <w:szCs w:val="28"/>
          <w:lang w:val="el-GR"/>
        </w:rPr>
        <w:tab/>
      </w:r>
      <w:r w:rsidRPr="00A83BF6">
        <w:rPr>
          <w:rFonts w:ascii="Bookman Old Style" w:hAnsi="Bookman Old Style"/>
          <w:sz w:val="28"/>
          <w:szCs w:val="28"/>
          <w:lang w:val="el-GR"/>
        </w:rPr>
        <w:tab/>
      </w:r>
      <w:r w:rsidRPr="00FE4B17">
        <w:rPr>
          <w:rFonts w:ascii="Bookman Old Style" w:hAnsi="Bookman Old Style"/>
          <w:sz w:val="28"/>
          <w:szCs w:val="28"/>
          <w:lang w:val="el-GR"/>
        </w:rPr>
        <w:t>Ε. ΕΦΡΑΙΜ, Δ.</w:t>
      </w:r>
    </w:p>
    <w:p w14:paraId="0BFB82E8" w14:textId="77777777" w:rsidR="0053322E" w:rsidRDefault="0053322E" w:rsidP="00FE4B17">
      <w:pPr>
        <w:spacing w:after="0" w:line="240" w:lineRule="auto"/>
        <w:jc w:val="both"/>
        <w:rPr>
          <w:rFonts w:ascii="Bookman Old Style" w:hAnsi="Bookman Old Style"/>
          <w:sz w:val="28"/>
          <w:szCs w:val="28"/>
          <w:lang w:val="el-GR"/>
        </w:rPr>
      </w:pPr>
    </w:p>
    <w:p w14:paraId="1CBEAE90" w14:textId="77777777" w:rsidR="0053322E" w:rsidRDefault="0053322E" w:rsidP="00FE4B17">
      <w:pPr>
        <w:spacing w:after="0" w:line="240" w:lineRule="auto"/>
        <w:jc w:val="both"/>
        <w:rPr>
          <w:rFonts w:ascii="Bookman Old Style" w:hAnsi="Bookman Old Style"/>
          <w:sz w:val="28"/>
          <w:szCs w:val="28"/>
          <w:lang w:val="el-GR"/>
        </w:rPr>
      </w:pPr>
    </w:p>
    <w:p w14:paraId="3C298872" w14:textId="77777777" w:rsidR="0053322E" w:rsidRDefault="0053322E" w:rsidP="00FE4B17">
      <w:pPr>
        <w:spacing w:after="0" w:line="240" w:lineRule="auto"/>
        <w:jc w:val="both"/>
        <w:rPr>
          <w:rFonts w:ascii="Bookman Old Style" w:hAnsi="Bookman Old Style"/>
          <w:sz w:val="28"/>
          <w:szCs w:val="28"/>
          <w:lang w:val="el-GR"/>
        </w:rPr>
      </w:pPr>
    </w:p>
    <w:p w14:paraId="6AEC0747" w14:textId="77777777" w:rsidR="0053322E" w:rsidRDefault="0053322E" w:rsidP="0053322E">
      <w:pPr>
        <w:tabs>
          <w:tab w:val="left" w:pos="567"/>
        </w:tabs>
        <w:spacing w:line="480" w:lineRule="auto"/>
        <w:jc w:val="both"/>
        <w:rPr>
          <w:rFonts w:ascii="Bookman Old Style" w:hAnsi="Bookman Old Style" w:cstheme="majorBidi"/>
          <w:sz w:val="28"/>
          <w:szCs w:val="28"/>
          <w:lang w:val="el-GR"/>
        </w:rPr>
      </w:pPr>
    </w:p>
    <w:p w14:paraId="1213DE1B" w14:textId="77777777" w:rsidR="006876A6" w:rsidRDefault="006876A6" w:rsidP="0053322E">
      <w:pPr>
        <w:spacing w:after="0" w:line="240" w:lineRule="auto"/>
        <w:jc w:val="both"/>
        <w:rPr>
          <w:rFonts w:ascii="Bookman Old Style" w:hAnsi="Bookman Old Style" w:cstheme="majorBidi"/>
          <w:sz w:val="28"/>
          <w:szCs w:val="28"/>
          <w:lang w:val="el-GR"/>
        </w:rPr>
      </w:pPr>
    </w:p>
    <w:p w14:paraId="434937BC" w14:textId="31011874" w:rsidR="0053322E" w:rsidRPr="0053322E" w:rsidRDefault="0053322E" w:rsidP="0053322E">
      <w:pPr>
        <w:spacing w:after="0" w:line="240" w:lineRule="auto"/>
        <w:jc w:val="both"/>
        <w:rPr>
          <w:rFonts w:ascii="Bookman Old Style" w:hAnsi="Bookman Old Style"/>
          <w:sz w:val="28"/>
          <w:szCs w:val="28"/>
          <w:lang w:val="el-GR"/>
        </w:rPr>
      </w:pPr>
      <w:r>
        <w:rPr>
          <w:rFonts w:ascii="Bookman Old Style" w:hAnsi="Bookman Old Style" w:cstheme="majorBidi"/>
          <w:sz w:val="28"/>
          <w:szCs w:val="28"/>
          <w:lang w:val="el-GR"/>
        </w:rPr>
        <w:t>/κβπ</w:t>
      </w:r>
      <w:r>
        <w:rPr>
          <w:rFonts w:ascii="Bookman Old Style" w:hAnsi="Bookman Old Style" w:cstheme="majorBidi"/>
          <w:sz w:val="28"/>
          <w:szCs w:val="28"/>
          <w:lang w:val="el-GR"/>
        </w:rPr>
        <w:tab/>
      </w:r>
    </w:p>
    <w:sectPr w:rsidR="0053322E" w:rsidRPr="0053322E" w:rsidSect="006E68C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D1F41" w14:textId="77777777" w:rsidR="00AF3C4E" w:rsidRDefault="00AF3C4E" w:rsidP="00CD0986">
      <w:pPr>
        <w:spacing w:after="0" w:line="240" w:lineRule="auto"/>
      </w:pPr>
      <w:r>
        <w:separator/>
      </w:r>
    </w:p>
  </w:endnote>
  <w:endnote w:type="continuationSeparator" w:id="0">
    <w:p w14:paraId="3430055E" w14:textId="77777777" w:rsidR="00AF3C4E" w:rsidRDefault="00AF3C4E" w:rsidP="00CD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8F753" w14:textId="77777777" w:rsidR="00AF3C4E" w:rsidRDefault="00AF3C4E" w:rsidP="00CD0986">
      <w:pPr>
        <w:spacing w:after="0" w:line="240" w:lineRule="auto"/>
      </w:pPr>
      <w:r>
        <w:separator/>
      </w:r>
    </w:p>
  </w:footnote>
  <w:footnote w:type="continuationSeparator" w:id="0">
    <w:p w14:paraId="44EC6DBE" w14:textId="77777777" w:rsidR="00AF3C4E" w:rsidRDefault="00AF3C4E" w:rsidP="00CD0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358045"/>
      <w:docPartObj>
        <w:docPartGallery w:val="Page Numbers (Top of Page)"/>
        <w:docPartUnique/>
      </w:docPartObj>
    </w:sdtPr>
    <w:sdtEndPr>
      <w:rPr>
        <w:noProof/>
      </w:rPr>
    </w:sdtEndPr>
    <w:sdtContent>
      <w:p w14:paraId="24D65ED6" w14:textId="7BA22F4C" w:rsidR="00E50774" w:rsidRDefault="00E50774">
        <w:pPr>
          <w:pStyle w:val="Header"/>
          <w:jc w:val="center"/>
        </w:pPr>
        <w:r>
          <w:fldChar w:fldCharType="begin"/>
        </w:r>
        <w:r>
          <w:instrText xml:space="preserve"> PAGE   \* MERGEFORMAT </w:instrText>
        </w:r>
        <w:r>
          <w:fldChar w:fldCharType="separate"/>
        </w:r>
        <w:r w:rsidR="00CE79B0">
          <w:rPr>
            <w:noProof/>
          </w:rPr>
          <w:t>2</w:t>
        </w:r>
        <w:r>
          <w:rPr>
            <w:noProof/>
          </w:rPr>
          <w:fldChar w:fldCharType="end"/>
        </w:r>
      </w:p>
    </w:sdtContent>
  </w:sdt>
  <w:p w14:paraId="3468B2A7" w14:textId="77777777" w:rsidR="00CD0986" w:rsidRDefault="00CD09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506CF" w14:textId="75561E94" w:rsidR="008C677E" w:rsidRDefault="008C677E">
    <w:pPr>
      <w:pStyle w:val="Header"/>
      <w:jc w:val="center"/>
    </w:pPr>
  </w:p>
  <w:p w14:paraId="7A4DBBE0" w14:textId="77777777" w:rsidR="008C677E" w:rsidRDefault="008C6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79"/>
    <w:rsid w:val="00002467"/>
    <w:rsid w:val="00052B0E"/>
    <w:rsid w:val="00062E7F"/>
    <w:rsid w:val="000B72C7"/>
    <w:rsid w:val="000B7F14"/>
    <w:rsid w:val="000E0932"/>
    <w:rsid w:val="000F6CDA"/>
    <w:rsid w:val="00117F7F"/>
    <w:rsid w:val="00167A59"/>
    <w:rsid w:val="001D7172"/>
    <w:rsid w:val="001F3ECE"/>
    <w:rsid w:val="00216936"/>
    <w:rsid w:val="0021789F"/>
    <w:rsid w:val="0024612D"/>
    <w:rsid w:val="00270433"/>
    <w:rsid w:val="0027167A"/>
    <w:rsid w:val="00293CB3"/>
    <w:rsid w:val="00297BE6"/>
    <w:rsid w:val="002E3635"/>
    <w:rsid w:val="00311F9B"/>
    <w:rsid w:val="003C792E"/>
    <w:rsid w:val="003D5DF2"/>
    <w:rsid w:val="00402518"/>
    <w:rsid w:val="00426BDF"/>
    <w:rsid w:val="0045250C"/>
    <w:rsid w:val="004B303D"/>
    <w:rsid w:val="004B57F9"/>
    <w:rsid w:val="004C098D"/>
    <w:rsid w:val="004F1C86"/>
    <w:rsid w:val="00517432"/>
    <w:rsid w:val="0053322E"/>
    <w:rsid w:val="00576EDD"/>
    <w:rsid w:val="00587079"/>
    <w:rsid w:val="005A4CE1"/>
    <w:rsid w:val="005D2AFC"/>
    <w:rsid w:val="0063677F"/>
    <w:rsid w:val="006413AB"/>
    <w:rsid w:val="006418B4"/>
    <w:rsid w:val="00667170"/>
    <w:rsid w:val="00671846"/>
    <w:rsid w:val="006876A6"/>
    <w:rsid w:val="00687E30"/>
    <w:rsid w:val="006B629E"/>
    <w:rsid w:val="006E68C5"/>
    <w:rsid w:val="007170EE"/>
    <w:rsid w:val="00723407"/>
    <w:rsid w:val="00741C07"/>
    <w:rsid w:val="0075013C"/>
    <w:rsid w:val="0076717A"/>
    <w:rsid w:val="00772B29"/>
    <w:rsid w:val="00776B81"/>
    <w:rsid w:val="007777E7"/>
    <w:rsid w:val="00783691"/>
    <w:rsid w:val="007D6AEB"/>
    <w:rsid w:val="007F383E"/>
    <w:rsid w:val="00826526"/>
    <w:rsid w:val="00852CFF"/>
    <w:rsid w:val="008603A3"/>
    <w:rsid w:val="00867D4F"/>
    <w:rsid w:val="00886488"/>
    <w:rsid w:val="008944E7"/>
    <w:rsid w:val="008B09C3"/>
    <w:rsid w:val="008C677E"/>
    <w:rsid w:val="00906D04"/>
    <w:rsid w:val="00954554"/>
    <w:rsid w:val="00996C7E"/>
    <w:rsid w:val="009C5391"/>
    <w:rsid w:val="009D6799"/>
    <w:rsid w:val="009F3431"/>
    <w:rsid w:val="00A22673"/>
    <w:rsid w:val="00A26F3B"/>
    <w:rsid w:val="00A31889"/>
    <w:rsid w:val="00A45DE2"/>
    <w:rsid w:val="00A50F70"/>
    <w:rsid w:val="00A713A8"/>
    <w:rsid w:val="00A73D95"/>
    <w:rsid w:val="00A84EE7"/>
    <w:rsid w:val="00A85543"/>
    <w:rsid w:val="00A92941"/>
    <w:rsid w:val="00AA0106"/>
    <w:rsid w:val="00AD7661"/>
    <w:rsid w:val="00AF3C4E"/>
    <w:rsid w:val="00B1064C"/>
    <w:rsid w:val="00B22265"/>
    <w:rsid w:val="00B3318B"/>
    <w:rsid w:val="00B716B8"/>
    <w:rsid w:val="00B92720"/>
    <w:rsid w:val="00BA792B"/>
    <w:rsid w:val="00BE19D1"/>
    <w:rsid w:val="00BF7814"/>
    <w:rsid w:val="00C96D06"/>
    <w:rsid w:val="00C97C35"/>
    <w:rsid w:val="00CD0986"/>
    <w:rsid w:val="00CD198B"/>
    <w:rsid w:val="00CE19FF"/>
    <w:rsid w:val="00CE43BA"/>
    <w:rsid w:val="00CE79B0"/>
    <w:rsid w:val="00D57997"/>
    <w:rsid w:val="00D64C41"/>
    <w:rsid w:val="00D95F76"/>
    <w:rsid w:val="00DA27D3"/>
    <w:rsid w:val="00DB2E90"/>
    <w:rsid w:val="00DE327E"/>
    <w:rsid w:val="00DF027D"/>
    <w:rsid w:val="00DF6A68"/>
    <w:rsid w:val="00E13F65"/>
    <w:rsid w:val="00E20C00"/>
    <w:rsid w:val="00E50392"/>
    <w:rsid w:val="00E50774"/>
    <w:rsid w:val="00E76EE0"/>
    <w:rsid w:val="00E850AB"/>
    <w:rsid w:val="00EA5D4D"/>
    <w:rsid w:val="00EC732E"/>
    <w:rsid w:val="00ED5693"/>
    <w:rsid w:val="00F457EE"/>
    <w:rsid w:val="00F54643"/>
    <w:rsid w:val="00F769C3"/>
    <w:rsid w:val="00FD3850"/>
    <w:rsid w:val="00FE4B17"/>
    <w:rsid w:val="00FF4618"/>
    <w:rsid w:val="00FF70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6217"/>
  <w15:chartTrackingRefBased/>
  <w15:docId w15:val="{CB02B6DC-9402-43B1-B6FA-10DD034D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79"/>
  </w:style>
  <w:style w:type="paragraph" w:styleId="Heading1">
    <w:name w:val="heading 1"/>
    <w:basedOn w:val="Normal"/>
    <w:next w:val="Normal"/>
    <w:link w:val="Heading1Char"/>
    <w:uiPriority w:val="9"/>
    <w:qFormat/>
    <w:rsid w:val="00AD7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66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D7661"/>
    <w:pPr>
      <w:ind w:left="720"/>
      <w:contextualSpacing/>
    </w:pPr>
  </w:style>
  <w:style w:type="paragraph" w:styleId="TOCHeading">
    <w:name w:val="TOC Heading"/>
    <w:basedOn w:val="Heading1"/>
    <w:next w:val="Normal"/>
    <w:uiPriority w:val="39"/>
    <w:unhideWhenUsed/>
    <w:qFormat/>
    <w:rsid w:val="00AD7661"/>
    <w:pPr>
      <w:outlineLvl w:val="9"/>
    </w:pPr>
    <w:rPr>
      <w:kern w:val="0"/>
      <w14:ligatures w14:val="none"/>
    </w:rPr>
  </w:style>
  <w:style w:type="paragraph" w:styleId="Header">
    <w:name w:val="header"/>
    <w:basedOn w:val="Normal"/>
    <w:link w:val="HeaderChar"/>
    <w:uiPriority w:val="99"/>
    <w:unhideWhenUsed/>
    <w:rsid w:val="00CD0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986"/>
  </w:style>
  <w:style w:type="paragraph" w:styleId="Footer">
    <w:name w:val="footer"/>
    <w:basedOn w:val="Normal"/>
    <w:link w:val="FooterChar"/>
    <w:uiPriority w:val="99"/>
    <w:unhideWhenUsed/>
    <w:rsid w:val="00CD0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1747</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Efrem</dc:creator>
  <cp:keywords/>
  <dc:description/>
  <cp:lastModifiedBy>Kakia Zervou</cp:lastModifiedBy>
  <cp:revision>2</cp:revision>
  <cp:lastPrinted>2023-12-18T08:16:00Z</cp:lastPrinted>
  <dcterms:created xsi:type="dcterms:W3CDTF">2024-01-19T07:19:00Z</dcterms:created>
  <dcterms:modified xsi:type="dcterms:W3CDTF">2024-01-19T07:19:00Z</dcterms:modified>
</cp:coreProperties>
</file>